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720"/>
        <w:jc w:val="center"/>
      </w:pPr>
      <w:r>
        <w:rPr>
          <w:rFonts w:ascii="Aptos Display" w:hAnsi="Aptos Display" w:eastAsia="Aptos Display"/>
          <w:b/>
          <w:color w:val="1E2F47"/>
          <w:sz w:val="46"/>
        </w:rPr>
        <w:t>CHURCH EDUCATION STANDARDS</w:t>
      </w:r>
    </w:p>
    <w:p>
      <w:pPr>
        <w:widowControl/>
        <w:jc w:val="center"/>
      </w:pPr>
      <w:r>
        <w:rPr>
          <w:rFonts w:ascii="Aptos Display" w:hAnsi="Aptos Display" w:eastAsia="Aptos Display"/>
          <w:b/>
          <w:color w:val="243A5E"/>
          <w:sz w:val="34"/>
        </w:rPr>
        <w:t>Sunday Schools and Specialized Courses</w:t>
      </w:r>
    </w:p>
    <w:p>
      <w:pPr>
        <w:widowControl/>
        <w:spacing w:before="160"/>
        <w:jc w:val="center"/>
      </w:pPr>
      <w:r>
        <w:rPr>
          <w:rFonts w:ascii="Aptos" w:hAnsi="Aptos" w:eastAsia="Aptos"/>
          <w:b w:val="0"/>
          <w:i/>
          <w:color w:val="5A5A5A"/>
          <w:sz w:val="22"/>
        </w:rPr>
        <w:t>Church Standards for Sunday Schools and Specialized Courses</w:t>
      </w:r>
    </w:p>
    <w:p>
      <w:pPr>
        <w:widowControl/>
      </w:pPr>
    </w:p>
    <w:p>
      <w:pPr>
        <w:widowControl/>
      </w:pPr>
    </w:p>
    <w:p>
      <w:pPr>
        <w:widowControl/>
      </w:pPr>
    </w:p>
    <w:p>
      <w:pPr>
        <w:widowControl/>
      </w:pPr>
    </w:p>
    <w:tbl>
      <w:tblPr>
        <w:tblW w:type="auto" w:w="0"/>
        <w:jc w:val="center"/>
        <w:tblLayout w:type="fixed"/>
        <w:tblLook w:firstColumn="1" w:firstRow="1" w:lastColumn="0" w:lastRow="0" w:noHBand="0" w:noVBand="1" w:val="04A0"/>
      </w:tblPr>
      <w:tblGrid>
        <w:gridCol w:w="9792"/>
      </w:tblGrid>
      <w:tr>
        <w:trPr>
          <w:cantSplit/>
        </w:trPr>
        <w:tc>
          <w:tcPr>
            <w:tcW w:type="dxa" w:w="9504"/>
            <w:shd w:fill="EEF3F8"/>
            <w:tcMar>
              <w:top w:w="160" w:type="dxa"/>
              <w:start w:w="180" w:type="dxa"/>
              <w:bottom w:w="160" w:type="dxa"/>
              <w:end w:w="180" w:type="dxa"/>
            </w:tcMar>
          </w:tcPr>
          <w:p>
            <w:pPr>
              <w:spacing w:after="0"/>
            </w:pPr>
            <w:r>
              <w:rPr>
                <w:rFonts w:ascii="Aptos" w:hAnsi="Aptos" w:eastAsia="Aptos"/>
                <w:b/>
                <w:color w:val="243A5E"/>
                <w:sz w:val="20"/>
              </w:rPr>
              <w:t>Document status: draft normative standard of the church educational system. This document governs programmes outside higher education that do not lead to the award of Bachelor, Master, or Doctor academic degrees.</w:t>
            </w:r>
            <w:r>
              <w:rPr>
                <w:rFonts w:ascii="Aptos" w:hAnsi="Aptos" w:eastAsia="Aptos"/>
                <w:sz w:val="20"/>
              </w:rPr>
            </w:r>
          </w:p>
        </w:tc>
      </w:tr>
    </w:tbl>
    <w:p>
      <w:pPr>
        <w:widowControl/>
        <w:spacing w:after="20"/>
      </w:pPr>
    </w:p>
    <w:tbl>
      <w:tblPr>
        <w:tblW w:type="auto" w:w="0"/>
        <w:jc w:val="center"/>
        <w:tblLayout w:type="fixed"/>
        <w:tblLook w:firstColumn="1" w:firstRow="1" w:lastColumn="0" w:lastRow="0" w:noHBand="0" w:noVBand="1" w:val="04A0"/>
      </w:tblPr>
      <w:tblGrid>
        <w:gridCol w:w="4896"/>
        <w:gridCol w:w="4896"/>
      </w:tblGrid>
      <w:tr>
        <w:trPr>
          <w:tblHeader w:val="true"/>
          <w:cantSplit/>
          <w:cantSplit/>
        </w:trPr>
        <w:tc>
          <w:tcPr>
            <w:tcW w:type="dxa" w:w="2304"/>
            <w:shd w:fill="243A5E"/>
            <w:tcMar>
              <w:top w:w="120" w:type="dxa"/>
              <w:start w:w="120" w:type="dxa"/>
              <w:bottom w:w="120" w:type="dxa"/>
              <w:end w:w="120" w:type="dxa"/>
            </w:tcMar>
            <w:vAlign w:val="center"/>
          </w:tcPr>
          <w:p>
            <w:pPr>
              <w:jc w:val="center"/>
            </w:pPr>
            <w:r>
              <w:t>Parameter</w:t>
            </w:r>
            <w:r>
              <w:rPr>
                <w:rFonts w:ascii="Aptos" w:hAnsi="Aptos" w:eastAsia="Aptos"/>
                <w:b/>
                <w:color w:val="FFFFFF"/>
                <w:sz w:val="19"/>
              </w:rPr>
            </w:r>
          </w:p>
        </w:tc>
        <w:tc>
          <w:tcPr>
            <w:tcW w:type="dxa" w:w="7056"/>
            <w:shd w:fill="243A5E"/>
            <w:tcMar>
              <w:top w:w="120" w:type="dxa"/>
              <w:start w:w="120" w:type="dxa"/>
              <w:bottom w:w="120" w:type="dxa"/>
              <w:end w:w="120" w:type="dxa"/>
            </w:tcMar>
            <w:vAlign w:val="center"/>
          </w:tcPr>
          <w:p>
            <w:pPr>
              <w:jc w:val="center"/>
            </w:pPr>
            <w:r>
              <w:t>Provision</w:t>
            </w:r>
            <w:r>
              <w:rPr>
                <w:rFonts w:ascii="Aptos" w:hAnsi="Aptos" w:eastAsia="Aptos"/>
                <w:b/>
                <w:color w:val="FFFFFF"/>
                <w:sz w:val="19"/>
              </w:rPr>
            </w:r>
          </w:p>
        </w:tc>
      </w:tr>
      <w:tr>
        <w:trPr>
          <w:cantSplit/>
          <w:cantSplit/>
        </w:trPr>
        <w:tc>
          <w:tcPr>
            <w:tcW w:type="dxa" w:w="2304"/>
            <w:tcMar>
              <w:top w:w="100" w:type="dxa"/>
              <w:start w:w="120" w:type="dxa"/>
              <w:bottom w:w="100" w:type="dxa"/>
              <w:end w:w="120" w:type="dxa"/>
            </w:tcMar>
            <w:vAlign w:val="center"/>
          </w:tcPr>
          <w:p>
            <w:pPr>
              <w:spacing w:after="0"/>
            </w:pPr>
            <w:r>
              <w:t>Version</w:t>
            </w:r>
            <w:r>
              <w:rPr>
                <w:rFonts w:ascii="Aptos" w:hAnsi="Aptos" w:eastAsia="Aptos"/>
                <w:sz w:val="18"/>
              </w:rPr>
            </w:r>
          </w:p>
        </w:tc>
        <w:tc>
          <w:tcPr>
            <w:tcW w:type="dxa" w:w="7056"/>
            <w:tcMar>
              <w:top w:w="100" w:type="dxa"/>
              <w:start w:w="120" w:type="dxa"/>
              <w:bottom w:w="100" w:type="dxa"/>
              <w:end w:w="120" w:type="dxa"/>
            </w:tcMar>
            <w:vAlign w:val="center"/>
          </w:tcPr>
          <w:p>
            <w:pPr>
              <w:spacing w:after="0"/>
              <w:jc w:val="center"/>
            </w:pPr>
            <w:r>
              <w:t>1.0 (Draft)</w:t>
            </w:r>
            <w:r>
              <w:rPr>
                <w:rFonts w:ascii="Aptos" w:hAnsi="Aptos" w:eastAsia="Aptos"/>
                <w:sz w:val="18"/>
              </w:rPr>
            </w:r>
          </w:p>
        </w:tc>
      </w:tr>
      <w:tr>
        <w:trPr>
          <w:cantSplit/>
          <w:cantSplit/>
        </w:trPr>
        <w:tc>
          <w:tcPr>
            <w:tcW w:type="dxa" w:w="2304"/>
            <w:tcMar>
              <w:top w:w="100" w:type="dxa"/>
              <w:start w:w="120" w:type="dxa"/>
              <w:bottom w:w="100" w:type="dxa"/>
              <w:end w:w="120" w:type="dxa"/>
            </w:tcMar>
            <w:vAlign w:val="center"/>
          </w:tcPr>
          <w:p>
            <w:pPr>
              <w:spacing w:after="0"/>
            </w:pPr>
            <w:r>
              <w:t>Scope</w:t>
            </w:r>
            <w:r>
              <w:rPr>
                <w:rFonts w:ascii="Aptos" w:hAnsi="Aptos" w:eastAsia="Aptos"/>
                <w:sz w:val="18"/>
              </w:rPr>
            </w:r>
          </w:p>
        </w:tc>
        <w:tc>
          <w:tcPr>
            <w:tcW w:type="dxa" w:w="7056"/>
            <w:tcMar>
              <w:top w:w="100" w:type="dxa"/>
              <w:start w:w="120" w:type="dxa"/>
              <w:bottom w:w="100" w:type="dxa"/>
              <w:end w:w="120" w:type="dxa"/>
            </w:tcMar>
            <w:vAlign w:val="center"/>
          </w:tcPr>
          <w:p>
            <w:pPr>
              <w:spacing w:after="0"/>
            </w:pPr>
            <w:r>
              <w:t>Sunday Schools; catechetical, pastoral, liturgical, social, administrative, and other specialized church courses</w:t>
            </w:r>
            <w:r>
              <w:rPr>
                <w:rFonts w:ascii="Aptos" w:hAnsi="Aptos" w:eastAsia="Aptos"/>
                <w:sz w:val="18"/>
              </w:rPr>
            </w:r>
          </w:p>
        </w:tc>
      </w:tr>
      <w:tr>
        <w:trPr>
          <w:cantSplit/>
          <w:cantSplit/>
        </w:trPr>
        <w:tc>
          <w:tcPr>
            <w:tcW w:type="dxa" w:w="2304"/>
            <w:tcMar>
              <w:top w:w="100" w:type="dxa"/>
              <w:start w:w="120" w:type="dxa"/>
              <w:bottom w:w="100" w:type="dxa"/>
              <w:end w:w="120" w:type="dxa"/>
            </w:tcMar>
            <w:vAlign w:val="center"/>
          </w:tcPr>
          <w:p>
            <w:pPr>
              <w:spacing w:after="0"/>
            </w:pPr>
            <w:r>
              <w:t>Nature of Qualifications</w:t>
            </w:r>
            <w:r>
              <w:rPr>
                <w:rFonts w:ascii="Aptos" w:hAnsi="Aptos" w:eastAsia="Aptos"/>
                <w:sz w:val="18"/>
              </w:rPr>
            </w:r>
          </w:p>
        </w:tc>
        <w:tc>
          <w:tcPr>
            <w:tcW w:type="dxa" w:w="7056"/>
            <w:tcMar>
              <w:top w:w="100" w:type="dxa"/>
              <w:start w:w="120" w:type="dxa"/>
              <w:bottom w:w="100" w:type="dxa"/>
              <w:end w:w="120" w:type="dxa"/>
            </w:tcMar>
            <w:vAlign w:val="center"/>
          </w:tcPr>
          <w:p>
            <w:pPr>
              <w:spacing w:after="0"/>
            </w:pPr>
            <w:r>
              <w:t>Non-degree ecclesiastical educational credentials: Certificate / Certificate of Completion / Certificate of Competence</w:t>
            </w:r>
            <w:r>
              <w:rPr>
                <w:rFonts w:ascii="Aptos" w:hAnsi="Aptos" w:eastAsia="Aptos"/>
                <w:sz w:val="18"/>
              </w:rPr>
            </w:r>
          </w:p>
        </w:tc>
      </w:tr>
      <w:tr>
        <w:trPr>
          <w:cantSplit/>
          <w:cantSplit/>
        </w:trPr>
        <w:tc>
          <w:tcPr>
            <w:tcW w:type="dxa" w:w="2304"/>
            <w:tcMar>
              <w:top w:w="100" w:type="dxa"/>
              <w:start w:w="120" w:type="dxa"/>
              <w:bottom w:w="100" w:type="dxa"/>
              <w:end w:w="120" w:type="dxa"/>
            </w:tcMar>
            <w:vAlign w:val="center"/>
          </w:tcPr>
          <w:p>
            <w:pPr>
              <w:spacing w:after="0"/>
            </w:pPr>
            <w:r>
              <w:t>Relationship to CHEQF</w:t>
            </w:r>
            <w:r>
              <w:rPr>
                <w:rFonts w:ascii="Aptos" w:hAnsi="Aptos" w:eastAsia="Aptos"/>
                <w:sz w:val="18"/>
              </w:rPr>
            </w:r>
          </w:p>
        </w:tc>
        <w:tc>
          <w:tcPr>
            <w:tcW w:type="dxa" w:w="7056"/>
            <w:tcMar>
              <w:top w:w="100" w:type="dxa"/>
              <w:start w:w="120" w:type="dxa"/>
              <w:bottom w:w="100" w:type="dxa"/>
              <w:end w:w="120" w:type="dxa"/>
            </w:tcMar>
            <w:vAlign w:val="center"/>
          </w:tcPr>
          <w:p>
            <w:pPr>
              <w:spacing w:after="0"/>
            </w:pPr>
            <w:r>
              <w:t>Uses common principles of quality, learning outcomes, academic integrity, and transparency, but does not form part of the higher education system</w:t>
            </w:r>
            <w:r>
              <w:rPr>
                <w:rFonts w:ascii="Aptos" w:hAnsi="Aptos" w:eastAsia="Aptos"/>
                <w:sz w:val="18"/>
              </w:rPr>
            </w:r>
          </w:p>
        </w:tc>
      </w:tr>
    </w:tbl>
    <w:p>
      <w:pPr>
        <w:widowControl/>
        <w:spacing w:after="20"/>
      </w:pPr>
    </w:p>
    <w:p>
      <w:pPr>
        <w:widowControl/>
        <w:spacing w:before="360"/>
        <w:jc w:val="center"/>
      </w:pPr>
      <w:r>
        <w:rPr>
          <w:rFonts w:ascii="Aptos" w:hAnsi="Aptos" w:eastAsia="Aptos"/>
          <w:b/>
          <w:color w:val="5A5A5A"/>
          <w:sz w:val="21"/>
        </w:rPr>
        <w:t>For Approval by the Competent Ecclesiastical Authority</w:t>
      </w:r>
    </w:p>
    <w:p>
      <w:pPr>
        <w:widowControl/>
      </w:pPr>
      <w:r>
        <w:br w:type="page"/>
      </w:r>
    </w:p>
    <w:p>
      <w:pPr>
        <w:pStyle w:val="Heading1"/>
        <w:widowControl/>
      </w:pPr>
      <w:r>
        <w:t>1. Purpose and Scope</w:t>
      </w:r>
    </w:p>
    <w:p>
      <w:pPr>
        <w:widowControl/>
      </w:pPr>
      <w:r>
        <w:t>This Standard establishes minimum requirements for church educational programmes that do not constitute higher education programmes. It is intended for parishes, dioceses, monasteries, missions, church educational centres, charitable organisations, and educational organisations operating under ecclesiastical responsibility.</w:t>
      </w:r>
    </w:p>
    <w:p>
      <w:pPr>
        <w:pStyle w:val="ListBullet"/>
        <w:widowControl/>
        <w:spacing w:after="40"/>
      </w:pPr>
      <w:r>
        <w:rPr>
          <w:rFonts w:ascii="Aptos" w:hAnsi="Aptos" w:eastAsia="Aptos"/>
          <w:sz w:val="21"/>
        </w:rPr>
        <w:t>Sunday School is understood as systematic parish-based or church-wide religious education for children and adolescents and, where appropriate, adults.</w:t>
      </w:r>
    </w:p>
    <w:p>
      <w:pPr>
        <w:pStyle w:val="ListBullet"/>
        <w:widowControl/>
        <w:spacing w:after="40"/>
      </w:pPr>
      <w:r>
        <w:rPr>
          <w:rFonts w:ascii="Aptos" w:hAnsi="Aptos" w:eastAsia="Aptos"/>
          <w:sz w:val="21"/>
        </w:rPr>
        <w:t>A Specialized Course is understood as a limited-scope programme intended to develop knowledge, skills, or competence in a specific area of church ministry.</w:t>
      </w:r>
    </w:p>
    <w:p>
      <w:pPr>
        <w:pStyle w:val="ListBullet"/>
        <w:widowControl/>
        <w:spacing w:after="40"/>
      </w:pPr>
      <w:r>
        <w:rPr>
          <w:rFonts w:ascii="Aptos" w:hAnsi="Aptos" w:eastAsia="Aptos"/>
          <w:sz w:val="21"/>
        </w:rPr>
        <w:t>Credentials issued under this Standard are not academic degrees and shall not be designated as Bachelor, Master, Doctor, PhD, or their equivalents.</w:t>
      </w:r>
    </w:p>
    <w:p>
      <w:pPr>
        <w:pStyle w:val="ListBullet"/>
        <w:widowControl/>
        <w:spacing w:after="40"/>
      </w:pPr>
      <w:r>
        <w:rPr>
          <w:rFonts w:ascii="Aptos" w:hAnsi="Aptos" w:eastAsia="Aptos"/>
          <w:sz w:val="21"/>
        </w:rPr>
        <w:t>State or professional recognition is possible only where separately recognised under the law of the relevant jurisdiction.</w:t>
      </w:r>
    </w:p>
    <w:p>
      <w:pPr>
        <w:pStyle w:val="Heading1"/>
        <w:widowControl/>
      </w:pPr>
      <w:r>
        <w:t>2. Core Principles</w:t>
      </w:r>
    </w:p>
    <w:tbl>
      <w:tblPr>
        <w:tblW w:type="auto" w:w="0"/>
        <w:jc w:val="center"/>
        <w:tblLayout w:type="fixed"/>
        <w:tblLook w:firstColumn="1" w:firstRow="1" w:lastColumn="0" w:lastRow="0" w:noHBand="0" w:noVBand="1" w:val="04A0"/>
      </w:tblPr>
      <w:tblGrid>
        <w:gridCol w:w="4896"/>
        <w:gridCol w:w="4896"/>
      </w:tblGrid>
      <w:tr>
        <w:trPr>
          <w:tblHeader w:val="true"/>
          <w:cantSplit/>
          <w:cantSplit/>
        </w:trPr>
        <w:tc>
          <w:tcPr>
            <w:tcW w:type="dxa" w:w="2376"/>
            <w:shd w:fill="243A5E"/>
            <w:tcMar>
              <w:top w:w="120" w:type="dxa"/>
              <w:start w:w="120" w:type="dxa"/>
              <w:bottom w:w="120" w:type="dxa"/>
              <w:end w:w="120" w:type="dxa"/>
            </w:tcMar>
            <w:vAlign w:val="center"/>
          </w:tcPr>
          <w:p>
            <w:pPr>
              <w:jc w:val="center"/>
            </w:pPr>
            <w:r>
              <w:t>Principle</w:t>
            </w:r>
            <w:r>
              <w:rPr>
                <w:rFonts w:ascii="Aptos" w:hAnsi="Aptos" w:eastAsia="Aptos"/>
                <w:b/>
                <w:color w:val="FFFFFF"/>
                <w:sz w:val="19"/>
              </w:rPr>
            </w:r>
          </w:p>
        </w:tc>
        <w:tc>
          <w:tcPr>
            <w:tcW w:type="dxa" w:w="6984"/>
            <w:shd w:fill="243A5E"/>
            <w:tcMar>
              <w:top w:w="120" w:type="dxa"/>
              <w:start w:w="120" w:type="dxa"/>
              <w:bottom w:w="120" w:type="dxa"/>
              <w:end w:w="120" w:type="dxa"/>
            </w:tcMar>
            <w:vAlign w:val="center"/>
          </w:tcPr>
          <w:p>
            <w:pPr>
              <w:jc w:val="center"/>
            </w:pPr>
            <w:r>
              <w:t>Minimum Requirement</w:t>
            </w:r>
            <w:r>
              <w:rPr>
                <w:rFonts w:ascii="Aptos" w:hAnsi="Aptos" w:eastAsia="Aptos"/>
                <w:b/>
                <w:color w:val="FFFFFF"/>
                <w:sz w:val="19"/>
              </w:rPr>
            </w:r>
          </w:p>
        </w:tc>
      </w:tr>
      <w:tr>
        <w:trPr>
          <w:cantSplit/>
          <w:cantSplit/>
        </w:trPr>
        <w:tc>
          <w:tcPr>
            <w:tcW w:type="dxa" w:w="2376"/>
            <w:tcMar>
              <w:top w:w="100" w:type="dxa"/>
              <w:start w:w="120" w:type="dxa"/>
              <w:bottom w:w="100" w:type="dxa"/>
              <w:end w:w="120" w:type="dxa"/>
            </w:tcMar>
            <w:vAlign w:val="center"/>
          </w:tcPr>
          <w:p>
            <w:pPr>
              <w:spacing w:after="0"/>
            </w:pPr>
            <w:r>
              <w:t>Ecclesial Fidelity</w:t>
            </w:r>
            <w:r>
              <w:rPr>
                <w:rFonts w:ascii="Aptos" w:hAnsi="Aptos" w:eastAsia="Aptos"/>
                <w:sz w:val="18"/>
              </w:rPr>
            </w:r>
          </w:p>
        </w:tc>
        <w:tc>
          <w:tcPr>
            <w:tcW w:type="dxa" w:w="6984"/>
            <w:tcMar>
              <w:top w:w="100" w:type="dxa"/>
              <w:start w:w="120" w:type="dxa"/>
              <w:bottom w:w="100" w:type="dxa"/>
              <w:end w:w="120" w:type="dxa"/>
            </w:tcMar>
            <w:vAlign w:val="center"/>
          </w:tcPr>
          <w:p>
            <w:pPr>
              <w:spacing w:after="0"/>
            </w:pPr>
            <w:r>
              <w:t>The content of religious disciplines shall conform to the approved doctrine, canonical tradition, and liturgical practice of the relevant ecclesiastical jurisdiction.</w:t>
            </w:r>
            <w:r>
              <w:rPr>
                <w:rFonts w:ascii="Aptos" w:hAnsi="Aptos" w:eastAsia="Aptos"/>
                <w:sz w:val="18"/>
              </w:rPr>
            </w:r>
          </w:p>
        </w:tc>
      </w:tr>
      <w:tr>
        <w:trPr>
          <w:cantSplit/>
          <w:cantSplit/>
        </w:trPr>
        <w:tc>
          <w:tcPr>
            <w:tcW w:type="dxa" w:w="2376"/>
            <w:tcMar>
              <w:top w:w="100" w:type="dxa"/>
              <w:start w:w="120" w:type="dxa"/>
              <w:bottom w:w="100" w:type="dxa"/>
              <w:end w:w="120" w:type="dxa"/>
            </w:tcMar>
            <w:vAlign w:val="center"/>
          </w:tcPr>
          <w:p>
            <w:pPr>
              <w:spacing w:after="0"/>
            </w:pPr>
            <w:r>
              <w:t>Age and Pedagogical Appropriateness</w:t>
            </w:r>
            <w:r>
              <w:rPr>
                <w:rFonts w:ascii="Aptos" w:hAnsi="Aptos" w:eastAsia="Aptos"/>
                <w:sz w:val="18"/>
              </w:rPr>
            </w:r>
          </w:p>
        </w:tc>
        <w:tc>
          <w:tcPr>
            <w:tcW w:type="dxa" w:w="6984"/>
            <w:tcMar>
              <w:top w:w="100" w:type="dxa"/>
              <w:start w:w="120" w:type="dxa"/>
              <w:bottom w:w="100" w:type="dxa"/>
              <w:end w:w="120" w:type="dxa"/>
            </w:tcMar>
            <w:vAlign w:val="center"/>
          </w:tcPr>
          <w:p>
            <w:pPr>
              <w:spacing w:after="0"/>
            </w:pPr>
            <w:r>
              <w:t>Content, language, teaching methods, and assessment shall be appropriate to the age and level of preparation of learners.</w:t>
            </w:r>
            <w:r>
              <w:rPr>
                <w:rFonts w:ascii="Aptos" w:hAnsi="Aptos" w:eastAsia="Aptos"/>
                <w:sz w:val="18"/>
              </w:rPr>
            </w:r>
          </w:p>
        </w:tc>
      </w:tr>
      <w:tr>
        <w:trPr>
          <w:cantSplit/>
          <w:cantSplit/>
        </w:trPr>
        <w:tc>
          <w:tcPr>
            <w:tcW w:type="dxa" w:w="2376"/>
            <w:tcMar>
              <w:top w:w="100" w:type="dxa"/>
              <w:start w:w="120" w:type="dxa"/>
              <w:bottom w:w="100" w:type="dxa"/>
              <w:end w:w="120" w:type="dxa"/>
            </w:tcMar>
            <w:vAlign w:val="center"/>
          </w:tcPr>
          <w:p>
            <w:pPr>
              <w:spacing w:after="0"/>
            </w:pPr>
            <w:r>
              <w:t>Measurable Outcomes</w:t>
            </w:r>
            <w:r>
              <w:rPr>
                <w:rFonts w:ascii="Aptos" w:hAnsi="Aptos" w:eastAsia="Aptos"/>
                <w:sz w:val="18"/>
              </w:rPr>
            </w:r>
          </w:p>
        </w:tc>
        <w:tc>
          <w:tcPr>
            <w:tcW w:type="dxa" w:w="6984"/>
            <w:tcMar>
              <w:top w:w="100" w:type="dxa"/>
              <w:start w:w="120" w:type="dxa"/>
              <w:bottom w:w="100" w:type="dxa"/>
              <w:end w:w="120" w:type="dxa"/>
            </w:tcMar>
            <w:vAlign w:val="center"/>
          </w:tcPr>
          <w:p>
            <w:pPr>
              <w:spacing w:after="0"/>
            </w:pPr>
            <w:r>
              <w:t>Each programme shall state what the learner is expected to know, understand, and be able to do upon completion.</w:t>
            </w:r>
            <w:r>
              <w:rPr>
                <w:rFonts w:ascii="Aptos" w:hAnsi="Aptos" w:eastAsia="Aptos"/>
                <w:sz w:val="18"/>
              </w:rPr>
            </w:r>
          </w:p>
        </w:tc>
      </w:tr>
      <w:tr>
        <w:trPr>
          <w:cantSplit/>
          <w:cantSplit/>
        </w:trPr>
        <w:tc>
          <w:tcPr>
            <w:tcW w:type="dxa" w:w="2376"/>
            <w:tcMar>
              <w:top w:w="100" w:type="dxa"/>
              <w:start w:w="120" w:type="dxa"/>
              <w:bottom w:w="100" w:type="dxa"/>
              <w:end w:w="120" w:type="dxa"/>
            </w:tcMar>
            <w:vAlign w:val="center"/>
          </w:tcPr>
          <w:p>
            <w:pPr>
              <w:spacing w:after="0"/>
            </w:pPr>
            <w:r>
              <w:t>Safety and Dignity</w:t>
            </w:r>
            <w:r>
              <w:rPr>
                <w:rFonts w:ascii="Aptos" w:hAnsi="Aptos" w:eastAsia="Aptos"/>
                <w:sz w:val="18"/>
              </w:rPr>
            </w:r>
          </w:p>
        </w:tc>
        <w:tc>
          <w:tcPr>
            <w:tcW w:type="dxa" w:w="6984"/>
            <w:tcMar>
              <w:top w:w="100" w:type="dxa"/>
              <w:start w:w="120" w:type="dxa"/>
              <w:bottom w:w="100" w:type="dxa"/>
              <w:end w:w="120" w:type="dxa"/>
            </w:tcMar>
            <w:vAlign w:val="center"/>
          </w:tcPr>
          <w:p>
            <w:pPr>
              <w:spacing w:after="0"/>
            </w:pPr>
            <w:r>
              <w:t>Work with children and vulnerable persons shall comply with safeguarding requirements, personal data protection, and the prohibition of violence, humiliation, and abuse of authority.</w:t>
            </w:r>
            <w:r>
              <w:rPr>
                <w:rFonts w:ascii="Aptos" w:hAnsi="Aptos" w:eastAsia="Aptos"/>
                <w:sz w:val="18"/>
              </w:rPr>
            </w:r>
          </w:p>
        </w:tc>
      </w:tr>
      <w:tr>
        <w:trPr>
          <w:cantSplit/>
          <w:cantSplit/>
        </w:trPr>
        <w:tc>
          <w:tcPr>
            <w:tcW w:type="dxa" w:w="2376"/>
            <w:tcMar>
              <w:top w:w="100" w:type="dxa"/>
              <w:start w:w="120" w:type="dxa"/>
              <w:bottom w:w="100" w:type="dxa"/>
              <w:end w:w="120" w:type="dxa"/>
            </w:tcMar>
            <w:vAlign w:val="center"/>
          </w:tcPr>
          <w:p>
            <w:pPr>
              <w:spacing w:after="0"/>
            </w:pPr>
            <w:r>
              <w:t>Transparency</w:t>
            </w:r>
            <w:r>
              <w:rPr>
                <w:rFonts w:ascii="Aptos" w:hAnsi="Aptos" w:eastAsia="Aptos"/>
                <w:sz w:val="18"/>
              </w:rPr>
            </w:r>
          </w:p>
        </w:tc>
        <w:tc>
          <w:tcPr>
            <w:tcW w:type="dxa" w:w="6984"/>
            <w:tcMar>
              <w:top w:w="100" w:type="dxa"/>
              <w:start w:w="120" w:type="dxa"/>
              <w:bottom w:w="100" w:type="dxa"/>
              <w:end w:w="120" w:type="dxa"/>
            </w:tcMar>
            <w:vAlign w:val="center"/>
          </w:tcPr>
          <w:p>
            <w:pPr>
              <w:spacing w:after="0"/>
            </w:pPr>
            <w:r>
              <w:t>Before enrolment, learners or parents shall be informed of the aims, volume, requirements, forms of assessment, and status of the final credential.</w:t>
            </w:r>
            <w:r>
              <w:rPr>
                <w:rFonts w:ascii="Aptos" w:hAnsi="Aptos" w:eastAsia="Aptos"/>
                <w:sz w:val="18"/>
              </w:rPr>
            </w:r>
          </w:p>
        </w:tc>
      </w:tr>
      <w:tr>
        <w:trPr>
          <w:cantSplit/>
          <w:cantSplit/>
        </w:trPr>
        <w:tc>
          <w:tcPr>
            <w:tcW w:type="dxa" w:w="2376"/>
            <w:tcMar>
              <w:top w:w="100" w:type="dxa"/>
              <w:start w:w="120" w:type="dxa"/>
              <w:bottom w:w="100" w:type="dxa"/>
              <w:end w:w="120" w:type="dxa"/>
            </w:tcMar>
            <w:vAlign w:val="center"/>
          </w:tcPr>
          <w:p>
            <w:pPr>
              <w:spacing w:after="0"/>
            </w:pPr>
            <w:r>
              <w:t>Proportionality of Assessment</w:t>
            </w:r>
            <w:r>
              <w:rPr>
                <w:rFonts w:ascii="Aptos" w:hAnsi="Aptos" w:eastAsia="Aptos"/>
                <w:sz w:val="18"/>
              </w:rPr>
            </w:r>
          </w:p>
        </w:tc>
        <w:tc>
          <w:tcPr>
            <w:tcW w:type="dxa" w:w="6984"/>
            <w:tcMar>
              <w:top w:w="100" w:type="dxa"/>
              <w:start w:w="120" w:type="dxa"/>
              <w:bottom w:w="100" w:type="dxa"/>
              <w:end w:w="120" w:type="dxa"/>
            </w:tcMar>
            <w:vAlign w:val="center"/>
          </w:tcPr>
          <w:p>
            <w:pPr>
              <w:spacing w:after="0"/>
            </w:pPr>
            <w:r>
              <w:t>Assessment shall be proportionate to the level of the programme: a short course does not require university-level procedures, but a Certificate of Competence requires genuine verification of the relevant skill.</w:t>
            </w:r>
            <w:r>
              <w:rPr>
                <w:rFonts w:ascii="Aptos" w:hAnsi="Aptos" w:eastAsia="Aptos"/>
                <w:sz w:val="18"/>
              </w:rPr>
            </w:r>
          </w:p>
        </w:tc>
      </w:tr>
    </w:tbl>
    <w:p>
      <w:pPr>
        <w:widowControl/>
        <w:spacing w:after="20"/>
      </w:pPr>
    </w:p>
    <w:p>
      <w:pPr>
        <w:pStyle w:val="Heading1"/>
        <w:widowControl/>
      </w:pPr>
      <w:r>
        <w:t>3. Types of Educational Credentials</w:t>
      </w:r>
    </w:p>
    <w:tbl>
      <w:tblPr>
        <w:tblW w:type="auto" w:w="0"/>
        <w:jc w:val="center"/>
        <w:tblLayout w:type="fixed"/>
        <w:tblLook w:firstColumn="1" w:firstRow="1" w:lastColumn="0" w:lastRow="0" w:noHBand="0" w:noVBand="1" w:val="04A0"/>
      </w:tblPr>
      <w:tblGrid>
        <w:gridCol w:w="4896"/>
        <w:gridCol w:w="4896"/>
      </w:tblGrid>
      <w:tr>
        <w:trPr>
          <w:tblHeader w:val="true"/>
          <w:cantSplit/>
          <w:cantSplit/>
        </w:trPr>
        <w:tc>
          <w:tcPr>
            <w:tcW w:type="dxa" w:w="3096"/>
            <w:shd w:fill="243A5E"/>
            <w:tcMar>
              <w:top w:w="120" w:type="dxa"/>
              <w:start w:w="120" w:type="dxa"/>
              <w:bottom w:w="120" w:type="dxa"/>
              <w:end w:w="120" w:type="dxa"/>
            </w:tcMar>
            <w:vAlign w:val="center"/>
          </w:tcPr>
          <w:p>
            <w:pPr>
              <w:jc w:val="center"/>
            </w:pPr>
            <w:r>
              <w:t>Credential</w:t>
            </w:r>
            <w:r>
              <w:rPr>
                <w:rFonts w:ascii="Aptos" w:hAnsi="Aptos" w:eastAsia="Aptos"/>
                <w:b/>
                <w:color w:val="FFFFFF"/>
                <w:sz w:val="19"/>
              </w:rPr>
            </w:r>
          </w:p>
        </w:tc>
        <w:tc>
          <w:tcPr>
            <w:tcW w:type="dxa" w:w="6264"/>
            <w:shd w:fill="243A5E"/>
            <w:tcMar>
              <w:top w:w="120" w:type="dxa"/>
              <w:start w:w="120" w:type="dxa"/>
              <w:bottom w:w="120" w:type="dxa"/>
              <w:end w:w="120" w:type="dxa"/>
            </w:tcMar>
            <w:vAlign w:val="center"/>
          </w:tcPr>
          <w:p>
            <w:pPr>
              <w:jc w:val="center"/>
            </w:pPr>
            <w:r>
              <w:t>Meaning</w:t>
            </w:r>
            <w:r>
              <w:rPr>
                <w:rFonts w:ascii="Aptos" w:hAnsi="Aptos" w:eastAsia="Aptos"/>
                <w:b/>
                <w:color w:val="FFFFFF"/>
                <w:sz w:val="19"/>
              </w:rPr>
            </w:r>
          </w:p>
        </w:tc>
      </w:tr>
      <w:tr>
        <w:trPr>
          <w:cantSplit/>
          <w:cantSplit/>
        </w:trPr>
        <w:tc>
          <w:tcPr>
            <w:tcW w:type="dxa" w:w="3096"/>
            <w:tcMar>
              <w:top w:w="100" w:type="dxa"/>
              <w:start w:w="120" w:type="dxa"/>
              <w:bottom w:w="100" w:type="dxa"/>
              <w:end w:w="120" w:type="dxa"/>
            </w:tcMar>
            <w:vAlign w:val="center"/>
          </w:tcPr>
          <w:p>
            <w:pPr>
              <w:spacing w:after="0"/>
            </w:pPr>
            <w:r/>
            <w:r>
              <w:rPr>
                <w:rFonts w:ascii="Aptos" w:hAnsi="Aptos" w:eastAsia="Aptos"/>
                <w:sz w:val="18"/>
              </w:rPr>
              <w:t>Certificate of Participation</w:t>
            </w:r>
          </w:p>
        </w:tc>
        <w:tc>
          <w:tcPr>
            <w:tcW w:type="dxa" w:w="6264"/>
            <w:tcMar>
              <w:top w:w="100" w:type="dxa"/>
              <w:start w:w="120" w:type="dxa"/>
              <w:bottom w:w="100" w:type="dxa"/>
              <w:end w:w="120" w:type="dxa"/>
            </w:tcMar>
            <w:vAlign w:val="center"/>
          </w:tcPr>
          <w:p>
            <w:pPr>
              <w:spacing w:after="0"/>
            </w:pPr>
            <w:r>
              <w:t>Confirms participation. It may be issued without final assessment. It does not certify competence.</w:t>
            </w:r>
            <w:r>
              <w:rPr>
                <w:rFonts w:ascii="Aptos" w:hAnsi="Aptos" w:eastAsia="Aptos"/>
                <w:sz w:val="18"/>
              </w:rPr>
            </w:r>
          </w:p>
        </w:tc>
      </w:tr>
      <w:tr>
        <w:trPr>
          <w:cantSplit/>
          <w:cantSplit/>
        </w:trPr>
        <w:tc>
          <w:tcPr>
            <w:tcW w:type="dxa" w:w="3096"/>
            <w:tcMar>
              <w:top w:w="100" w:type="dxa"/>
              <w:start w:w="120" w:type="dxa"/>
              <w:bottom w:w="100" w:type="dxa"/>
              <w:end w:w="120" w:type="dxa"/>
            </w:tcMar>
            <w:vAlign w:val="center"/>
          </w:tcPr>
          <w:p>
            <w:pPr>
              <w:spacing w:after="0"/>
            </w:pPr>
            <w:r/>
            <w:r>
              <w:rPr>
                <w:rFonts w:ascii="Aptos" w:hAnsi="Aptos" w:eastAsia="Aptos"/>
                <w:sz w:val="18"/>
              </w:rPr>
              <w:t>Certificate of Completion</w:t>
            </w:r>
          </w:p>
        </w:tc>
        <w:tc>
          <w:tcPr>
            <w:tcW w:type="dxa" w:w="6264"/>
            <w:tcMar>
              <w:top w:w="100" w:type="dxa"/>
              <w:start w:w="120" w:type="dxa"/>
              <w:bottom w:w="100" w:type="dxa"/>
              <w:end w:w="120" w:type="dxa"/>
            </w:tcMar>
            <w:vAlign w:val="center"/>
          </w:tcPr>
          <w:p>
            <w:pPr>
              <w:spacing w:after="0"/>
            </w:pPr>
            <w:r>
              <w:t>Confirms completion of the prescribed programme and fulfilment of minimum attendance and assessment requirements.</w:t>
            </w:r>
            <w:r>
              <w:rPr>
                <w:rFonts w:ascii="Aptos" w:hAnsi="Aptos" w:eastAsia="Aptos"/>
                <w:sz w:val="18"/>
              </w:rPr>
            </w:r>
          </w:p>
        </w:tc>
      </w:tr>
      <w:tr>
        <w:trPr>
          <w:cantSplit/>
          <w:cantSplit/>
        </w:trPr>
        <w:tc>
          <w:tcPr>
            <w:tcW w:type="dxa" w:w="3096"/>
            <w:tcMar>
              <w:top w:w="100" w:type="dxa"/>
              <w:start w:w="120" w:type="dxa"/>
              <w:bottom w:w="100" w:type="dxa"/>
              <w:end w:w="120" w:type="dxa"/>
            </w:tcMar>
            <w:vAlign w:val="center"/>
          </w:tcPr>
          <w:p>
            <w:pPr>
              <w:spacing w:after="0"/>
            </w:pPr>
            <w:r/>
            <w:r>
              <w:rPr>
                <w:rFonts w:ascii="Aptos" w:hAnsi="Aptos" w:eastAsia="Aptos"/>
                <w:sz w:val="18"/>
              </w:rPr>
              <w:t>Certificate of Competence</w:t>
            </w:r>
          </w:p>
        </w:tc>
        <w:tc>
          <w:tcPr>
            <w:tcW w:type="dxa" w:w="6264"/>
            <w:tcMar>
              <w:top w:w="100" w:type="dxa"/>
              <w:start w:w="120" w:type="dxa"/>
              <w:bottom w:w="100" w:type="dxa"/>
              <w:end w:w="120" w:type="dxa"/>
            </w:tcMar>
            <w:vAlign w:val="center"/>
          </w:tcPr>
          <w:p>
            <w:pPr>
              <w:spacing w:after="0"/>
            </w:pPr>
            <w:r>
              <w:t>Certifies demonstrated practical or professional ecclesiastical competence within the scope of a specific course.</w:t>
            </w:r>
            <w:r>
              <w:rPr>
                <w:rFonts w:ascii="Aptos" w:hAnsi="Aptos" w:eastAsia="Aptos"/>
                <w:sz w:val="18"/>
              </w:rPr>
            </w:r>
          </w:p>
        </w:tc>
      </w:tr>
      <w:tr>
        <w:trPr>
          <w:cantSplit/>
          <w:cantSplit/>
        </w:trPr>
        <w:tc>
          <w:tcPr>
            <w:tcW w:type="dxa" w:w="3096"/>
            <w:tcMar>
              <w:top w:w="100" w:type="dxa"/>
              <w:start w:w="120" w:type="dxa"/>
              <w:bottom w:w="100" w:type="dxa"/>
              <w:end w:w="120" w:type="dxa"/>
            </w:tcMar>
            <w:vAlign w:val="center"/>
          </w:tcPr>
          <w:p>
            <w:pPr>
              <w:spacing w:after="0"/>
            </w:pPr>
            <w:r/>
            <w:r>
              <w:rPr>
                <w:rFonts w:ascii="Aptos" w:hAnsi="Aptos" w:eastAsia="Aptos"/>
                <w:sz w:val="18"/>
              </w:rPr>
              <w:t>Sunday School Annual Certificate</w:t>
            </w:r>
          </w:p>
        </w:tc>
        <w:tc>
          <w:tcPr>
            <w:tcW w:type="dxa" w:w="6264"/>
            <w:tcMar>
              <w:top w:w="100" w:type="dxa"/>
              <w:start w:w="120" w:type="dxa"/>
              <w:bottom w:w="100" w:type="dxa"/>
              <w:end w:w="120" w:type="dxa"/>
            </w:tcMar>
            <w:vAlign w:val="center"/>
          </w:tcPr>
          <w:p>
            <w:pPr>
              <w:spacing w:after="0"/>
            </w:pPr>
            <w:r>
              <w:t>Confirms completion of a particular academic year or Sunday School level.</w:t>
            </w:r>
            <w:r>
              <w:rPr>
                <w:rFonts w:ascii="Aptos" w:hAnsi="Aptos" w:eastAsia="Aptos"/>
                <w:sz w:val="18"/>
              </w:rPr>
            </w:r>
          </w:p>
        </w:tc>
      </w:tr>
      <w:tr>
        <w:trPr>
          <w:cantSplit/>
          <w:cantSplit/>
        </w:trPr>
        <w:tc>
          <w:tcPr>
            <w:tcW w:type="dxa" w:w="3096"/>
            <w:tcMar>
              <w:top w:w="100" w:type="dxa"/>
              <w:start w:w="120" w:type="dxa"/>
              <w:bottom w:w="100" w:type="dxa"/>
              <w:end w:w="120" w:type="dxa"/>
            </w:tcMar>
            <w:vAlign w:val="center"/>
          </w:tcPr>
          <w:p>
            <w:pPr>
              <w:spacing w:after="0"/>
            </w:pPr>
            <w:r/>
            <w:r>
              <w:rPr>
                <w:rFonts w:ascii="Aptos" w:hAnsi="Aptos" w:eastAsia="Aptos"/>
                <w:sz w:val="18"/>
              </w:rPr>
              <w:t>Sunday School Graduation Certificate</w:t>
            </w:r>
          </w:p>
        </w:tc>
        <w:tc>
          <w:tcPr>
            <w:tcW w:type="dxa" w:w="6264"/>
            <w:tcMar>
              <w:top w:w="100" w:type="dxa"/>
              <w:start w:w="120" w:type="dxa"/>
              <w:bottom w:w="100" w:type="dxa"/>
              <w:end w:w="120" w:type="dxa"/>
            </w:tcMar>
            <w:vAlign w:val="center"/>
          </w:tcPr>
          <w:p>
            <w:pPr>
              <w:spacing w:after="0"/>
            </w:pPr>
            <w:r>
              <w:t>Confirms completion of the full approved Sunday School cycle. It is not a credential of general or higher education.</w:t>
            </w:r>
            <w:r>
              <w:rPr>
                <w:rFonts w:ascii="Aptos" w:hAnsi="Aptos" w:eastAsia="Aptos"/>
                <w:sz w:val="18"/>
              </w:rPr>
            </w:r>
          </w:p>
        </w:tc>
      </w:tr>
    </w:tbl>
    <w:p>
      <w:pPr>
        <w:widowControl/>
        <w:spacing w:after="20"/>
      </w:pPr>
    </w:p>
    <w:tbl>
      <w:tblPr>
        <w:tblW w:type="auto" w:w="0"/>
        <w:jc w:val="center"/>
        <w:tblLayout w:type="fixed"/>
        <w:tblLook w:firstColumn="1" w:firstRow="1" w:lastColumn="0" w:lastRow="0" w:noHBand="0" w:noVBand="1" w:val="04A0"/>
      </w:tblPr>
      <w:tblGrid>
        <w:gridCol w:w="9792"/>
      </w:tblGrid>
      <w:tr>
        <w:trPr>
          <w:cantSplit/>
        </w:trPr>
        <w:tc>
          <w:tcPr>
            <w:tcW w:type="dxa" w:w="9504"/>
            <w:shd w:fill="EEF3F8"/>
            <w:tcMar>
              <w:top w:w="160" w:type="dxa"/>
              <w:start w:w="180" w:type="dxa"/>
              <w:bottom w:w="160" w:type="dxa"/>
              <w:end w:w="180" w:type="dxa"/>
            </w:tcMar>
          </w:tcPr>
          <w:p>
            <w:pPr>
              <w:spacing w:after="0"/>
            </w:pPr>
            <w:r>
              <w:rPr>
                <w:rFonts w:ascii="Aptos" w:hAnsi="Aptos" w:eastAsia="Aptos"/>
                <w:b/>
                <w:color w:val="243A5E"/>
                <w:sz w:val="20"/>
              </w:rPr>
              <w:t>Rule: the title of a certificate shall not create the impression of a state qualification, professional licence, or academic degree where no such status exists.</w:t>
            </w:r>
            <w:r>
              <w:rPr>
                <w:rFonts w:ascii="Aptos" w:hAnsi="Aptos" w:eastAsia="Aptos"/>
                <w:sz w:val="20"/>
              </w:rPr>
            </w:r>
          </w:p>
        </w:tc>
      </w:tr>
    </w:tbl>
    <w:p>
      <w:pPr>
        <w:widowControl/>
        <w:spacing w:after="20"/>
      </w:pPr>
    </w:p>
    <w:p>
      <w:pPr>
        <w:widowControl/>
      </w:pPr>
      <w:r>
        <w:br w:type="page"/>
      </w:r>
    </w:p>
    <w:p>
      <w:pPr>
        <w:pStyle w:val="Heading1"/>
        <w:widowControl/>
      </w:pPr>
      <w:r>
        <w:t>PART I. SUNDAY SCHOOL STANDARD</w:t>
      </w:r>
    </w:p>
    <w:p>
      <w:pPr>
        <w:pStyle w:val="Heading2"/>
        <w:widowControl/>
      </w:pPr>
      <w:r>
        <w:t>4. Purpose of Sunday School</w:t>
      </w:r>
    </w:p>
    <w:p>
      <w:pPr>
        <w:widowControl/>
      </w:pPr>
      <w:r>
        <w:t>Sunday School provides systematic formation in the Christian faith and the life of the Church, develops the ability to understand Holy Scripture, worship, prayer, moral teaching, and Church history, and encourages conscious participation in the life of the Christian community.</w:t>
      </w:r>
    </w:p>
    <w:p>
      <w:pPr>
        <w:pStyle w:val="Heading2"/>
        <w:widowControl/>
      </w:pPr>
      <w:r>
        <w:t>5. Age Levels</w:t>
      </w:r>
    </w:p>
    <w:tbl>
      <w:tblPr>
        <w:tblW w:type="auto" w:w="0"/>
        <w:jc w:val="center"/>
        <w:tblLayout w:type="fixed"/>
        <w:tblLook w:firstColumn="1" w:firstRow="1" w:lastColumn="0" w:lastRow="0" w:noHBand="0" w:noVBand="1" w:val="04A0"/>
      </w:tblPr>
      <w:tblGrid>
        <w:gridCol w:w="2448"/>
        <w:gridCol w:w="2448"/>
        <w:gridCol w:w="2448"/>
        <w:gridCol w:w="2448"/>
      </w:tblGrid>
      <w:tr>
        <w:trPr>
          <w:tblHeader w:val="true"/>
          <w:cantSplit/>
          <w:cantSplit/>
        </w:trPr>
        <w:tc>
          <w:tcPr>
            <w:tcW w:type="dxa" w:w="936"/>
            <w:shd w:fill="243A5E"/>
            <w:tcMar>
              <w:top w:w="120" w:type="dxa"/>
              <w:start w:w="120" w:type="dxa"/>
              <w:bottom w:w="120" w:type="dxa"/>
              <w:end w:w="120" w:type="dxa"/>
            </w:tcMar>
            <w:vAlign w:val="center"/>
          </w:tcPr>
          <w:p>
            <w:pPr>
              <w:jc w:val="center"/>
            </w:pPr>
            <w:r>
              <w:t>Code</w:t>
            </w:r>
            <w:r>
              <w:rPr>
                <w:rFonts w:ascii="Aptos" w:hAnsi="Aptos" w:eastAsia="Aptos"/>
                <w:b/>
                <w:color w:val="FFFFFF"/>
                <w:sz w:val="19"/>
              </w:rPr>
            </w:r>
          </w:p>
        </w:tc>
        <w:tc>
          <w:tcPr>
            <w:tcW w:type="dxa" w:w="1512"/>
            <w:shd w:fill="243A5E"/>
            <w:tcMar>
              <w:top w:w="120" w:type="dxa"/>
              <w:start w:w="120" w:type="dxa"/>
              <w:bottom w:w="120" w:type="dxa"/>
              <w:end w:w="120" w:type="dxa"/>
            </w:tcMar>
            <w:vAlign w:val="center"/>
          </w:tcPr>
          <w:p>
            <w:pPr>
              <w:jc w:val="center"/>
            </w:pPr>
            <w:r>
              <w:t>Level</w:t>
            </w:r>
            <w:r>
              <w:rPr>
                <w:rFonts w:ascii="Aptos" w:hAnsi="Aptos" w:eastAsia="Aptos"/>
                <w:b/>
                <w:color w:val="FFFFFF"/>
                <w:sz w:val="19"/>
              </w:rPr>
            </w:r>
          </w:p>
        </w:tc>
        <w:tc>
          <w:tcPr>
            <w:tcW w:type="dxa" w:w="1656"/>
            <w:shd w:fill="243A5E"/>
            <w:tcMar>
              <w:top w:w="120" w:type="dxa"/>
              <w:start w:w="120" w:type="dxa"/>
              <w:bottom w:w="120" w:type="dxa"/>
              <w:end w:w="120" w:type="dxa"/>
            </w:tcMar>
            <w:vAlign w:val="center"/>
          </w:tcPr>
          <w:p>
            <w:pPr>
              <w:jc w:val="center"/>
            </w:pPr>
            <w:r>
              <w:t>Indicative Age</w:t>
            </w:r>
            <w:r>
              <w:rPr>
                <w:rFonts w:ascii="Aptos" w:hAnsi="Aptos" w:eastAsia="Aptos"/>
                <w:b/>
                <w:color w:val="FFFFFF"/>
                <w:sz w:val="19"/>
              </w:rPr>
            </w:r>
          </w:p>
        </w:tc>
        <w:tc>
          <w:tcPr>
            <w:tcW w:type="dxa" w:w="5256"/>
            <w:shd w:fill="243A5E"/>
            <w:tcMar>
              <w:top w:w="120" w:type="dxa"/>
              <w:start w:w="120" w:type="dxa"/>
              <w:bottom w:w="120" w:type="dxa"/>
              <w:end w:w="120" w:type="dxa"/>
            </w:tcMar>
            <w:vAlign w:val="center"/>
          </w:tcPr>
          <w:p>
            <w:pPr>
              <w:jc w:val="center"/>
            </w:pPr>
            <w:r>
              <w:t>Primary Focus</w:t>
            </w:r>
            <w:r>
              <w:rPr>
                <w:rFonts w:ascii="Aptos" w:hAnsi="Aptos" w:eastAsia="Aptos"/>
                <w:b/>
                <w:color w:val="FFFFFF"/>
                <w:sz w:val="19"/>
              </w:rPr>
            </w:r>
          </w:p>
        </w:tc>
      </w:tr>
      <w:tr>
        <w:trPr>
          <w:cantSplit/>
          <w:cantSplit/>
        </w:trPr>
        <w:tc>
          <w:tcPr>
            <w:tcW w:type="dxa" w:w="936"/>
            <w:tcMar>
              <w:top w:w="100" w:type="dxa"/>
              <w:start w:w="120" w:type="dxa"/>
              <w:bottom w:w="100" w:type="dxa"/>
              <w:end w:w="120" w:type="dxa"/>
            </w:tcMar>
            <w:vAlign w:val="center"/>
          </w:tcPr>
          <w:p>
            <w:pPr>
              <w:spacing w:after="0"/>
            </w:pPr>
            <w:r/>
            <w:r>
              <w:rPr>
                <w:rFonts w:ascii="Aptos" w:hAnsi="Aptos" w:eastAsia="Aptos"/>
                <w:sz w:val="18"/>
              </w:rPr>
              <w:t>SS-0</w:t>
            </w:r>
          </w:p>
        </w:tc>
        <w:tc>
          <w:tcPr>
            <w:tcW w:type="dxa" w:w="1512"/>
            <w:tcMar>
              <w:top w:w="100" w:type="dxa"/>
              <w:start w:w="120" w:type="dxa"/>
              <w:bottom w:w="100" w:type="dxa"/>
              <w:end w:w="120" w:type="dxa"/>
            </w:tcMar>
            <w:vAlign w:val="center"/>
          </w:tcPr>
          <w:p>
            <w:pPr>
              <w:spacing w:after="0"/>
              <w:jc w:val="center"/>
            </w:pPr>
            <w:r>
              <w:t>Preschool</w:t>
            </w:r>
            <w:r>
              <w:rPr>
                <w:rFonts w:ascii="Aptos" w:hAnsi="Aptos" w:eastAsia="Aptos"/>
                <w:sz w:val="18"/>
              </w:rPr>
            </w:r>
          </w:p>
        </w:tc>
        <w:tc>
          <w:tcPr>
            <w:tcW w:type="dxa" w:w="1656"/>
            <w:tcMar>
              <w:top w:w="100" w:type="dxa"/>
              <w:start w:w="120" w:type="dxa"/>
              <w:bottom w:w="100" w:type="dxa"/>
              <w:end w:w="120" w:type="dxa"/>
            </w:tcMar>
            <w:vAlign w:val="center"/>
          </w:tcPr>
          <w:p>
            <w:pPr>
              <w:spacing w:after="0"/>
              <w:jc w:val="center"/>
            </w:pPr>
            <w:r>
              <w:t>approximately ages 4–6</w:t>
            </w:r>
            <w:r>
              <w:rPr>
                <w:rFonts w:ascii="Aptos" w:hAnsi="Aptos" w:eastAsia="Aptos"/>
                <w:sz w:val="18"/>
              </w:rPr>
            </w:r>
          </w:p>
        </w:tc>
        <w:tc>
          <w:tcPr>
            <w:tcW w:type="dxa" w:w="5256"/>
            <w:tcMar>
              <w:top w:w="100" w:type="dxa"/>
              <w:start w:w="120" w:type="dxa"/>
              <w:bottom w:w="100" w:type="dxa"/>
              <w:end w:w="120" w:type="dxa"/>
            </w:tcMar>
            <w:vAlign w:val="center"/>
          </w:tcPr>
          <w:p>
            <w:pPr>
              <w:spacing w:after="0"/>
            </w:pPr>
            <w:r>
              <w:t>Introduction to God, prayer, the church, biblical stories, and church feasts through images, storytelling, play, and participation.</w:t>
            </w:r>
            <w:r>
              <w:rPr>
                <w:rFonts w:ascii="Aptos" w:hAnsi="Aptos" w:eastAsia="Aptos"/>
                <w:sz w:val="18"/>
              </w:rPr>
            </w:r>
          </w:p>
        </w:tc>
      </w:tr>
      <w:tr>
        <w:trPr>
          <w:cantSplit/>
          <w:cantSplit/>
        </w:trPr>
        <w:tc>
          <w:tcPr>
            <w:tcW w:type="dxa" w:w="936"/>
            <w:tcMar>
              <w:top w:w="100" w:type="dxa"/>
              <w:start w:w="120" w:type="dxa"/>
              <w:bottom w:w="100" w:type="dxa"/>
              <w:end w:w="120" w:type="dxa"/>
            </w:tcMar>
            <w:vAlign w:val="center"/>
          </w:tcPr>
          <w:p>
            <w:pPr>
              <w:spacing w:after="0"/>
            </w:pPr>
            <w:r/>
            <w:r>
              <w:rPr>
                <w:rFonts w:ascii="Aptos" w:hAnsi="Aptos" w:eastAsia="Aptos"/>
                <w:sz w:val="18"/>
              </w:rPr>
              <w:t>SS-1</w:t>
            </w:r>
          </w:p>
        </w:tc>
        <w:tc>
          <w:tcPr>
            <w:tcW w:type="dxa" w:w="1512"/>
            <w:tcMar>
              <w:top w:w="100" w:type="dxa"/>
              <w:start w:w="120" w:type="dxa"/>
              <w:bottom w:w="100" w:type="dxa"/>
              <w:end w:w="120" w:type="dxa"/>
            </w:tcMar>
            <w:vAlign w:val="center"/>
          </w:tcPr>
          <w:p>
            <w:pPr>
              <w:spacing w:after="0"/>
              <w:jc w:val="center"/>
            </w:pPr>
            <w:r>
              <w:t>Primary</w:t>
            </w:r>
            <w:r>
              <w:rPr>
                <w:rFonts w:ascii="Aptos" w:hAnsi="Aptos" w:eastAsia="Aptos"/>
                <w:sz w:val="18"/>
              </w:rPr>
            </w:r>
          </w:p>
        </w:tc>
        <w:tc>
          <w:tcPr>
            <w:tcW w:type="dxa" w:w="1656"/>
            <w:tcMar>
              <w:top w:w="100" w:type="dxa"/>
              <w:start w:w="120" w:type="dxa"/>
              <w:bottom w:w="100" w:type="dxa"/>
              <w:end w:w="120" w:type="dxa"/>
            </w:tcMar>
            <w:vAlign w:val="center"/>
          </w:tcPr>
          <w:p>
            <w:pPr>
              <w:spacing w:after="0"/>
              <w:jc w:val="center"/>
            </w:pPr>
            <w:r>
              <w:t>approximately ages 7–10</w:t>
            </w:r>
            <w:r>
              <w:rPr>
                <w:rFonts w:ascii="Aptos" w:hAnsi="Aptos" w:eastAsia="Aptos"/>
                <w:sz w:val="18"/>
              </w:rPr>
            </w:r>
          </w:p>
        </w:tc>
        <w:tc>
          <w:tcPr>
            <w:tcW w:type="dxa" w:w="5256"/>
            <w:tcMar>
              <w:top w:w="100" w:type="dxa"/>
              <w:start w:w="120" w:type="dxa"/>
              <w:bottom w:w="100" w:type="dxa"/>
              <w:end w:w="120" w:type="dxa"/>
            </w:tcMar>
            <w:vAlign w:val="center"/>
          </w:tcPr>
          <w:p>
            <w:pPr>
              <w:spacing w:after="0"/>
            </w:pPr>
            <w:r>
              <w:t>Basic biblical narratives, prayers, the structure of worship, major feasts, saints, and Christian virtues.</w:t>
            </w:r>
            <w:r>
              <w:rPr>
                <w:rFonts w:ascii="Aptos" w:hAnsi="Aptos" w:eastAsia="Aptos"/>
                <w:sz w:val="18"/>
              </w:rPr>
            </w:r>
          </w:p>
        </w:tc>
      </w:tr>
      <w:tr>
        <w:trPr>
          <w:cantSplit/>
          <w:cantSplit/>
        </w:trPr>
        <w:tc>
          <w:tcPr>
            <w:tcW w:type="dxa" w:w="936"/>
            <w:tcMar>
              <w:top w:w="100" w:type="dxa"/>
              <w:start w:w="120" w:type="dxa"/>
              <w:bottom w:w="100" w:type="dxa"/>
              <w:end w:w="120" w:type="dxa"/>
            </w:tcMar>
            <w:vAlign w:val="center"/>
          </w:tcPr>
          <w:p>
            <w:pPr>
              <w:spacing w:after="0"/>
            </w:pPr>
            <w:r/>
            <w:r>
              <w:rPr>
                <w:rFonts w:ascii="Aptos" w:hAnsi="Aptos" w:eastAsia="Aptos"/>
                <w:sz w:val="18"/>
              </w:rPr>
              <w:t>SS-2</w:t>
            </w:r>
          </w:p>
        </w:tc>
        <w:tc>
          <w:tcPr>
            <w:tcW w:type="dxa" w:w="1512"/>
            <w:tcMar>
              <w:top w:w="100" w:type="dxa"/>
              <w:start w:w="120" w:type="dxa"/>
              <w:bottom w:w="100" w:type="dxa"/>
              <w:end w:w="120" w:type="dxa"/>
            </w:tcMar>
            <w:vAlign w:val="center"/>
          </w:tcPr>
          <w:p>
            <w:pPr>
              <w:spacing w:after="0"/>
              <w:jc w:val="center"/>
            </w:pPr>
            <w:r>
              <w:t>Intermediate</w:t>
            </w:r>
            <w:r>
              <w:rPr>
                <w:rFonts w:ascii="Aptos" w:hAnsi="Aptos" w:eastAsia="Aptos"/>
                <w:sz w:val="18"/>
              </w:rPr>
            </w:r>
          </w:p>
        </w:tc>
        <w:tc>
          <w:tcPr>
            <w:tcW w:type="dxa" w:w="1656"/>
            <w:tcMar>
              <w:top w:w="100" w:type="dxa"/>
              <w:start w:w="120" w:type="dxa"/>
              <w:bottom w:w="100" w:type="dxa"/>
              <w:end w:w="120" w:type="dxa"/>
            </w:tcMar>
            <w:vAlign w:val="center"/>
          </w:tcPr>
          <w:p>
            <w:pPr>
              <w:spacing w:after="0"/>
              <w:jc w:val="center"/>
            </w:pPr>
            <w:r>
              <w:t>approximately ages 11–14</w:t>
            </w:r>
            <w:r>
              <w:rPr>
                <w:rFonts w:ascii="Aptos" w:hAnsi="Aptos" w:eastAsia="Aptos"/>
                <w:sz w:val="18"/>
              </w:rPr>
            </w:r>
          </w:p>
        </w:tc>
        <w:tc>
          <w:tcPr>
            <w:tcW w:type="dxa" w:w="5256"/>
            <w:tcMar>
              <w:top w:w="100" w:type="dxa"/>
              <w:start w:w="120" w:type="dxa"/>
              <w:bottom w:w="100" w:type="dxa"/>
              <w:end w:w="120" w:type="dxa"/>
            </w:tcMar>
            <w:vAlign w:val="center"/>
          </w:tcPr>
          <w:p>
            <w:pPr>
              <w:spacing w:after="0"/>
            </w:pPr>
            <w:r>
              <w:t>Integrated understanding of the Bible, the Creed, the Sacraments, Church history, moral responsibility, and church life.</w:t>
            </w:r>
            <w:r>
              <w:rPr>
                <w:rFonts w:ascii="Aptos" w:hAnsi="Aptos" w:eastAsia="Aptos"/>
                <w:sz w:val="18"/>
              </w:rPr>
            </w:r>
          </w:p>
        </w:tc>
      </w:tr>
      <w:tr>
        <w:trPr>
          <w:cantSplit/>
          <w:cantSplit/>
        </w:trPr>
        <w:tc>
          <w:tcPr>
            <w:tcW w:type="dxa" w:w="936"/>
            <w:tcMar>
              <w:top w:w="100" w:type="dxa"/>
              <w:start w:w="120" w:type="dxa"/>
              <w:bottom w:w="100" w:type="dxa"/>
              <w:end w:w="120" w:type="dxa"/>
            </w:tcMar>
            <w:vAlign w:val="center"/>
          </w:tcPr>
          <w:p>
            <w:pPr>
              <w:spacing w:after="0"/>
            </w:pPr>
            <w:r/>
            <w:r>
              <w:rPr>
                <w:rFonts w:ascii="Aptos" w:hAnsi="Aptos" w:eastAsia="Aptos"/>
                <w:sz w:val="18"/>
              </w:rPr>
              <w:t>SS-3</w:t>
            </w:r>
          </w:p>
        </w:tc>
        <w:tc>
          <w:tcPr>
            <w:tcW w:type="dxa" w:w="1512"/>
            <w:tcMar>
              <w:top w:w="100" w:type="dxa"/>
              <w:start w:w="120" w:type="dxa"/>
              <w:bottom w:w="100" w:type="dxa"/>
              <w:end w:w="120" w:type="dxa"/>
            </w:tcMar>
            <w:vAlign w:val="center"/>
          </w:tcPr>
          <w:p>
            <w:pPr>
              <w:spacing w:after="0"/>
              <w:jc w:val="center"/>
            </w:pPr>
            <w:r>
              <w:t>Senior</w:t>
            </w:r>
            <w:r>
              <w:rPr>
                <w:rFonts w:ascii="Aptos" w:hAnsi="Aptos" w:eastAsia="Aptos"/>
                <w:sz w:val="18"/>
              </w:rPr>
            </w:r>
          </w:p>
        </w:tc>
        <w:tc>
          <w:tcPr>
            <w:tcW w:type="dxa" w:w="1656"/>
            <w:tcMar>
              <w:top w:w="100" w:type="dxa"/>
              <w:start w:w="120" w:type="dxa"/>
              <w:bottom w:w="100" w:type="dxa"/>
              <w:end w:w="120" w:type="dxa"/>
            </w:tcMar>
            <w:vAlign w:val="center"/>
          </w:tcPr>
          <w:p>
            <w:pPr>
              <w:spacing w:after="0"/>
              <w:jc w:val="center"/>
            </w:pPr>
            <w:r>
              <w:t>approximately ages 15–17</w:t>
            </w:r>
            <w:r>
              <w:rPr>
                <w:rFonts w:ascii="Aptos" w:hAnsi="Aptos" w:eastAsia="Aptos"/>
                <w:sz w:val="18"/>
              </w:rPr>
            </w:r>
          </w:p>
        </w:tc>
        <w:tc>
          <w:tcPr>
            <w:tcW w:type="dxa" w:w="5256"/>
            <w:tcMar>
              <w:top w:w="100" w:type="dxa"/>
              <w:start w:w="120" w:type="dxa"/>
              <w:bottom w:w="100" w:type="dxa"/>
              <w:end w:w="120" w:type="dxa"/>
            </w:tcMar>
            <w:vAlign w:val="center"/>
          </w:tcPr>
          <w:p>
            <w:pPr>
              <w:spacing w:after="0"/>
            </w:pPr>
            <w:r>
              <w:t>Reflective theological and moral reasoning, work with sources, questions of faith and contemporary life, service, and personal responsibility.</w:t>
            </w:r>
            <w:r>
              <w:rPr>
                <w:rFonts w:ascii="Aptos" w:hAnsi="Aptos" w:eastAsia="Aptos"/>
                <w:sz w:val="18"/>
              </w:rPr>
            </w:r>
          </w:p>
        </w:tc>
      </w:tr>
      <w:tr>
        <w:trPr>
          <w:cantSplit/>
          <w:cantSplit/>
        </w:trPr>
        <w:tc>
          <w:tcPr>
            <w:tcW w:type="dxa" w:w="936"/>
            <w:tcMar>
              <w:top w:w="100" w:type="dxa"/>
              <w:start w:w="120" w:type="dxa"/>
              <w:bottom w:w="100" w:type="dxa"/>
              <w:end w:w="120" w:type="dxa"/>
            </w:tcMar>
            <w:vAlign w:val="center"/>
          </w:tcPr>
          <w:p>
            <w:pPr>
              <w:spacing w:after="0"/>
            </w:pPr>
            <w:r/>
            <w:r>
              <w:rPr>
                <w:rFonts w:ascii="Aptos" w:hAnsi="Aptos" w:eastAsia="Aptos"/>
                <w:sz w:val="18"/>
              </w:rPr>
              <w:t>SS-A</w:t>
            </w:r>
          </w:p>
        </w:tc>
        <w:tc>
          <w:tcPr>
            <w:tcW w:type="dxa" w:w="1512"/>
            <w:tcMar>
              <w:top w:w="100" w:type="dxa"/>
              <w:start w:w="120" w:type="dxa"/>
              <w:bottom w:w="100" w:type="dxa"/>
              <w:end w:w="120" w:type="dxa"/>
            </w:tcMar>
            <w:vAlign w:val="center"/>
          </w:tcPr>
          <w:p>
            <w:pPr>
              <w:spacing w:after="0"/>
              <w:jc w:val="center"/>
            </w:pPr>
            <w:r>
              <w:t>Adult Catechetical</w:t>
            </w:r>
            <w:r>
              <w:rPr>
                <w:rFonts w:ascii="Aptos" w:hAnsi="Aptos" w:eastAsia="Aptos"/>
                <w:sz w:val="18"/>
              </w:rPr>
            </w:r>
          </w:p>
        </w:tc>
        <w:tc>
          <w:tcPr>
            <w:tcW w:type="dxa" w:w="1656"/>
            <w:tcMar>
              <w:top w:w="100" w:type="dxa"/>
              <w:start w:w="120" w:type="dxa"/>
              <w:bottom w:w="100" w:type="dxa"/>
              <w:end w:w="120" w:type="dxa"/>
            </w:tcMar>
            <w:vAlign w:val="center"/>
          </w:tcPr>
          <w:p>
            <w:pPr>
              <w:spacing w:after="0"/>
              <w:jc w:val="center"/>
            </w:pPr>
            <w:r/>
            <w:r>
              <w:rPr>
                <w:rFonts w:ascii="Aptos" w:hAnsi="Aptos" w:eastAsia="Aptos"/>
                <w:sz w:val="18"/>
              </w:rPr>
              <w:t>18+</w:t>
            </w:r>
          </w:p>
        </w:tc>
        <w:tc>
          <w:tcPr>
            <w:tcW w:type="dxa" w:w="5256"/>
            <w:tcMar>
              <w:top w:w="100" w:type="dxa"/>
              <w:start w:w="120" w:type="dxa"/>
              <w:bottom w:w="100" w:type="dxa"/>
              <w:end w:w="120" w:type="dxa"/>
            </w:tcMar>
            <w:vAlign w:val="center"/>
          </w:tcPr>
          <w:p>
            <w:pPr>
              <w:spacing w:after="0"/>
            </w:pPr>
            <w:r>
              <w:t>Adult catechesis, preparation for church life, and systematic presentation of faith and practice.</w:t>
            </w:r>
            <w:r>
              <w:rPr>
                <w:rFonts w:ascii="Aptos" w:hAnsi="Aptos" w:eastAsia="Aptos"/>
                <w:sz w:val="18"/>
              </w:rPr>
            </w:r>
          </w:p>
        </w:tc>
      </w:tr>
    </w:tbl>
    <w:p>
      <w:pPr>
        <w:widowControl/>
        <w:spacing w:after="20"/>
      </w:pPr>
    </w:p>
    <w:p>
      <w:pPr>
        <w:widowControl/>
      </w:pPr>
      <w:r>
        <w:t>The age ranges are indicative. A parish or educational centre may combine levels provided that the required learning outcomes and pedagogical appropriateness are maintained.</w:t>
      </w:r>
    </w:p>
    <w:p>
      <w:pPr>
        <w:pStyle w:val="Heading2"/>
        <w:widowControl/>
      </w:pPr>
      <w:r>
        <w:t>6. Minimum Duration and Schedule</w:t>
      </w:r>
    </w:p>
    <w:p>
      <w:pPr>
        <w:pStyle w:val="ListBullet"/>
        <w:widowControl/>
        <w:spacing w:after="40"/>
      </w:pPr>
      <w:r>
        <w:rPr>
          <w:rFonts w:ascii="Aptos" w:hAnsi="Aptos" w:eastAsia="Aptos"/>
          <w:sz w:val="21"/>
        </w:rPr>
        <w:t>Recommended academic year: no fewer than 28 instructional sessions.</w:t>
      </w:r>
    </w:p>
    <w:p>
      <w:pPr>
        <w:pStyle w:val="ListBullet"/>
        <w:widowControl/>
        <w:spacing w:after="40"/>
      </w:pPr>
      <w:r>
        <w:rPr>
          <w:rFonts w:ascii="Aptos" w:hAnsi="Aptos" w:eastAsia="Aptos"/>
          <w:sz w:val="21"/>
        </w:rPr>
        <w:t>Typical duration of one session: 45–90 minutes depending on age.</w:t>
      </w:r>
    </w:p>
    <w:p>
      <w:pPr>
        <w:pStyle w:val="ListBullet"/>
        <w:widowControl/>
        <w:spacing w:after="40"/>
      </w:pPr>
      <w:r>
        <w:rPr>
          <w:rFonts w:ascii="Aptos" w:hAnsi="Aptos" w:eastAsia="Aptos"/>
          <w:sz w:val="21"/>
        </w:rPr>
        <w:t>For levels SS-1–SS-3, at least 30 academic hours of organised instruction per year are recommended.</w:t>
      </w:r>
    </w:p>
    <w:p>
      <w:pPr>
        <w:pStyle w:val="ListBullet"/>
        <w:widowControl/>
        <w:spacing w:after="40"/>
      </w:pPr>
      <w:r>
        <w:rPr>
          <w:rFonts w:ascii="Aptos" w:hAnsi="Aptos" w:eastAsia="Aptos"/>
          <w:sz w:val="21"/>
        </w:rPr>
        <w:t>Intensive sessions, camps, pilgrimages, liturgical practice, and project days may form part of the programme if properly documented.</w:t>
      </w:r>
    </w:p>
    <w:p>
      <w:pPr>
        <w:pStyle w:val="Heading2"/>
        <w:widowControl/>
      </w:pPr>
      <w:r>
        <w:t>7. Required Content Areas</w:t>
      </w:r>
    </w:p>
    <w:tbl>
      <w:tblPr>
        <w:tblW w:type="auto" w:w="0"/>
        <w:jc w:val="center"/>
        <w:tblLayout w:type="fixed"/>
        <w:tblLook w:firstColumn="1" w:firstRow="1" w:lastColumn="0" w:lastRow="0" w:noHBand="0" w:noVBand="1" w:val="04A0"/>
      </w:tblPr>
      <w:tblGrid>
        <w:gridCol w:w="4896"/>
        <w:gridCol w:w="4896"/>
      </w:tblGrid>
      <w:tr>
        <w:trPr>
          <w:tblHeader w:val="true"/>
          <w:cantSplit/>
          <w:cantSplit/>
        </w:trPr>
        <w:tc>
          <w:tcPr>
            <w:tcW w:type="dxa" w:w="2232"/>
            <w:shd w:fill="243A5E"/>
            <w:tcMar>
              <w:top w:w="120" w:type="dxa"/>
              <w:start w:w="120" w:type="dxa"/>
              <w:bottom w:w="120" w:type="dxa"/>
              <w:end w:w="120" w:type="dxa"/>
            </w:tcMar>
            <w:vAlign w:val="center"/>
          </w:tcPr>
          <w:p>
            <w:pPr>
              <w:jc w:val="center"/>
            </w:pPr>
            <w:r>
              <w:t>Area</w:t>
            </w:r>
            <w:r>
              <w:rPr>
                <w:rFonts w:ascii="Aptos" w:hAnsi="Aptos" w:eastAsia="Aptos"/>
                <w:b/>
                <w:color w:val="FFFFFF"/>
                <w:sz w:val="19"/>
              </w:rPr>
            </w:r>
          </w:p>
        </w:tc>
        <w:tc>
          <w:tcPr>
            <w:tcW w:type="dxa" w:w="7128"/>
            <w:shd w:fill="243A5E"/>
            <w:tcMar>
              <w:top w:w="120" w:type="dxa"/>
              <w:start w:w="120" w:type="dxa"/>
              <w:bottom w:w="120" w:type="dxa"/>
              <w:end w:w="120" w:type="dxa"/>
            </w:tcMar>
            <w:vAlign w:val="center"/>
          </w:tcPr>
          <w:p>
            <w:pPr>
              <w:jc w:val="center"/>
            </w:pPr>
            <w:r>
              <w:t>Minimum Content</w:t>
            </w:r>
            <w:r>
              <w:rPr>
                <w:rFonts w:ascii="Aptos" w:hAnsi="Aptos" w:eastAsia="Aptos"/>
                <w:b/>
                <w:color w:val="FFFFFF"/>
                <w:sz w:val="19"/>
              </w:rPr>
            </w:r>
          </w:p>
        </w:tc>
      </w:tr>
      <w:tr>
        <w:trPr>
          <w:cantSplit/>
          <w:cantSplit/>
        </w:trPr>
        <w:tc>
          <w:tcPr>
            <w:tcW w:type="dxa" w:w="2232"/>
            <w:tcMar>
              <w:top w:w="100" w:type="dxa"/>
              <w:start w:w="120" w:type="dxa"/>
              <w:bottom w:w="100" w:type="dxa"/>
              <w:end w:w="120" w:type="dxa"/>
            </w:tcMar>
            <w:vAlign w:val="center"/>
          </w:tcPr>
          <w:p>
            <w:pPr>
              <w:spacing w:after="0"/>
            </w:pPr>
            <w:r>
              <w:t>Holy Scripture</w:t>
            </w:r>
            <w:r>
              <w:rPr>
                <w:rFonts w:ascii="Aptos" w:hAnsi="Aptos" w:eastAsia="Aptos"/>
                <w:sz w:val="18"/>
              </w:rPr>
            </w:r>
          </w:p>
        </w:tc>
        <w:tc>
          <w:tcPr>
            <w:tcW w:type="dxa" w:w="7128"/>
            <w:tcMar>
              <w:top w:w="100" w:type="dxa"/>
              <w:start w:w="120" w:type="dxa"/>
              <w:bottom w:w="100" w:type="dxa"/>
              <w:end w:w="120" w:type="dxa"/>
            </w:tcMar>
            <w:vAlign w:val="center"/>
          </w:tcPr>
          <w:p>
            <w:pPr>
              <w:spacing w:after="0"/>
            </w:pPr>
            <w:r>
              <w:t>Biblical events, the structure of the Bible, key texts, and the understanding of Scripture within Church tradition.</w:t>
            </w:r>
            <w:r>
              <w:rPr>
                <w:rFonts w:ascii="Aptos" w:hAnsi="Aptos" w:eastAsia="Aptos"/>
                <w:sz w:val="18"/>
              </w:rPr>
            </w:r>
          </w:p>
        </w:tc>
      </w:tr>
      <w:tr>
        <w:trPr>
          <w:cantSplit/>
          <w:cantSplit/>
        </w:trPr>
        <w:tc>
          <w:tcPr>
            <w:tcW w:type="dxa" w:w="2232"/>
            <w:tcMar>
              <w:top w:w="100" w:type="dxa"/>
              <w:start w:w="120" w:type="dxa"/>
              <w:bottom w:w="100" w:type="dxa"/>
              <w:end w:w="120" w:type="dxa"/>
            </w:tcMar>
            <w:vAlign w:val="center"/>
          </w:tcPr>
          <w:p>
            <w:pPr>
              <w:spacing w:after="0"/>
            </w:pPr>
            <w:r>
              <w:t>Doctrine</w:t>
            </w:r>
            <w:r>
              <w:rPr>
                <w:rFonts w:ascii="Aptos" w:hAnsi="Aptos" w:eastAsia="Aptos"/>
                <w:sz w:val="18"/>
              </w:rPr>
            </w:r>
          </w:p>
        </w:tc>
        <w:tc>
          <w:tcPr>
            <w:tcW w:type="dxa" w:w="7128"/>
            <w:tcMar>
              <w:top w:w="100" w:type="dxa"/>
              <w:start w:w="120" w:type="dxa"/>
              <w:bottom w:w="100" w:type="dxa"/>
              <w:end w:w="120" w:type="dxa"/>
            </w:tcMar>
            <w:vAlign w:val="center"/>
          </w:tcPr>
          <w:p>
            <w:pPr>
              <w:spacing w:after="0"/>
            </w:pPr>
            <w:r>
              <w:t>Core teachings of the Christian faith, the Creed, Christology, and teaching on the Church and salvation at an age-appropriate level.</w:t>
            </w:r>
            <w:r>
              <w:rPr>
                <w:rFonts w:ascii="Aptos" w:hAnsi="Aptos" w:eastAsia="Aptos"/>
                <w:sz w:val="18"/>
              </w:rPr>
            </w:r>
          </w:p>
        </w:tc>
      </w:tr>
      <w:tr>
        <w:trPr>
          <w:cantSplit/>
          <w:cantSplit/>
        </w:trPr>
        <w:tc>
          <w:tcPr>
            <w:tcW w:type="dxa" w:w="2232"/>
            <w:tcMar>
              <w:top w:w="100" w:type="dxa"/>
              <w:start w:w="120" w:type="dxa"/>
              <w:bottom w:w="100" w:type="dxa"/>
              <w:end w:w="120" w:type="dxa"/>
            </w:tcMar>
            <w:vAlign w:val="center"/>
          </w:tcPr>
          <w:p>
            <w:pPr>
              <w:spacing w:after="0"/>
            </w:pPr>
            <w:r>
              <w:t>Worship and Prayer</w:t>
            </w:r>
            <w:r>
              <w:rPr>
                <w:rFonts w:ascii="Aptos" w:hAnsi="Aptos" w:eastAsia="Aptos"/>
                <w:sz w:val="18"/>
              </w:rPr>
            </w:r>
          </w:p>
        </w:tc>
        <w:tc>
          <w:tcPr>
            <w:tcW w:type="dxa" w:w="7128"/>
            <w:tcMar>
              <w:top w:w="100" w:type="dxa"/>
              <w:start w:w="120" w:type="dxa"/>
              <w:bottom w:w="100" w:type="dxa"/>
              <w:end w:w="120" w:type="dxa"/>
            </w:tcMar>
            <w:vAlign w:val="center"/>
          </w:tcPr>
          <w:p>
            <w:pPr>
              <w:spacing w:after="0"/>
            </w:pPr>
            <w:r>
              <w:t>The liturgical year, the arrangement of the church, principal services, the Sacraments, and personal and communal prayer.</w:t>
            </w:r>
            <w:r>
              <w:rPr>
                <w:rFonts w:ascii="Aptos" w:hAnsi="Aptos" w:eastAsia="Aptos"/>
                <w:sz w:val="18"/>
              </w:rPr>
            </w:r>
          </w:p>
        </w:tc>
      </w:tr>
      <w:tr>
        <w:trPr>
          <w:cantSplit/>
          <w:cantSplit/>
        </w:trPr>
        <w:tc>
          <w:tcPr>
            <w:tcW w:type="dxa" w:w="2232"/>
            <w:tcMar>
              <w:top w:w="100" w:type="dxa"/>
              <w:start w:w="120" w:type="dxa"/>
              <w:bottom w:w="100" w:type="dxa"/>
              <w:end w:w="120" w:type="dxa"/>
            </w:tcMar>
            <w:vAlign w:val="center"/>
          </w:tcPr>
          <w:p>
            <w:pPr>
              <w:spacing w:after="0"/>
            </w:pPr>
            <w:r>
              <w:t>Church History and Saints</w:t>
            </w:r>
            <w:r>
              <w:rPr>
                <w:rFonts w:ascii="Aptos" w:hAnsi="Aptos" w:eastAsia="Aptos"/>
                <w:sz w:val="18"/>
              </w:rPr>
            </w:r>
          </w:p>
        </w:tc>
        <w:tc>
          <w:tcPr>
            <w:tcW w:type="dxa" w:w="7128"/>
            <w:tcMar>
              <w:top w:w="100" w:type="dxa"/>
              <w:start w:w="120" w:type="dxa"/>
              <w:bottom w:w="100" w:type="dxa"/>
              <w:end w:w="120" w:type="dxa"/>
            </w:tcMar>
            <w:vAlign w:val="center"/>
          </w:tcPr>
          <w:p>
            <w:pPr>
              <w:spacing w:after="0"/>
            </w:pPr>
            <w:r>
              <w:t>Major periods of Church history, local tradition, and the lives of saints as examples of Christian life.</w:t>
            </w:r>
            <w:r>
              <w:rPr>
                <w:rFonts w:ascii="Aptos" w:hAnsi="Aptos" w:eastAsia="Aptos"/>
                <w:sz w:val="18"/>
              </w:rPr>
            </w:r>
          </w:p>
        </w:tc>
      </w:tr>
      <w:tr>
        <w:trPr>
          <w:cantSplit/>
          <w:cantSplit/>
        </w:trPr>
        <w:tc>
          <w:tcPr>
            <w:tcW w:type="dxa" w:w="2232"/>
            <w:tcMar>
              <w:top w:w="100" w:type="dxa"/>
              <w:start w:w="120" w:type="dxa"/>
              <w:bottom w:w="100" w:type="dxa"/>
              <w:end w:w="120" w:type="dxa"/>
            </w:tcMar>
            <w:vAlign w:val="center"/>
          </w:tcPr>
          <w:p>
            <w:pPr>
              <w:spacing w:after="0"/>
            </w:pPr>
            <w:r>
              <w:t>Christian Ethics</w:t>
            </w:r>
            <w:r>
              <w:rPr>
                <w:rFonts w:ascii="Aptos" w:hAnsi="Aptos" w:eastAsia="Aptos"/>
                <w:sz w:val="18"/>
              </w:rPr>
            </w:r>
          </w:p>
        </w:tc>
        <w:tc>
          <w:tcPr>
            <w:tcW w:type="dxa" w:w="7128"/>
            <w:tcMar>
              <w:top w:w="100" w:type="dxa"/>
              <w:start w:w="120" w:type="dxa"/>
              <w:bottom w:w="100" w:type="dxa"/>
              <w:end w:w="120" w:type="dxa"/>
            </w:tcMar>
            <w:vAlign w:val="center"/>
          </w:tcPr>
          <w:p>
            <w:pPr>
              <w:spacing w:after="0"/>
            </w:pPr>
            <w:r>
              <w:t>Conscience, freedom, responsibility, family, mercy, honesty, respect for the human person, digital conduct, and social responsibility.</w:t>
            </w:r>
            <w:r>
              <w:rPr>
                <w:rFonts w:ascii="Aptos" w:hAnsi="Aptos" w:eastAsia="Aptos"/>
                <w:sz w:val="18"/>
              </w:rPr>
            </w:r>
          </w:p>
        </w:tc>
      </w:tr>
      <w:tr>
        <w:trPr>
          <w:cantSplit/>
          <w:cantSplit/>
        </w:trPr>
        <w:tc>
          <w:tcPr>
            <w:tcW w:type="dxa" w:w="2232"/>
            <w:tcMar>
              <w:top w:w="100" w:type="dxa"/>
              <w:start w:w="120" w:type="dxa"/>
              <w:bottom w:w="100" w:type="dxa"/>
              <w:end w:w="120" w:type="dxa"/>
            </w:tcMar>
            <w:vAlign w:val="center"/>
          </w:tcPr>
          <w:p>
            <w:pPr>
              <w:spacing w:after="0"/>
            </w:pPr>
            <w:r>
              <w:t>Community Life and Service</w:t>
            </w:r>
            <w:r>
              <w:rPr>
                <w:rFonts w:ascii="Aptos" w:hAnsi="Aptos" w:eastAsia="Aptos"/>
                <w:sz w:val="18"/>
              </w:rPr>
            </w:r>
          </w:p>
        </w:tc>
        <w:tc>
          <w:tcPr>
            <w:tcW w:type="dxa" w:w="7128"/>
            <w:tcMar>
              <w:top w:w="100" w:type="dxa"/>
              <w:start w:w="120" w:type="dxa"/>
              <w:bottom w:w="100" w:type="dxa"/>
              <w:end w:w="120" w:type="dxa"/>
            </w:tcMar>
            <w:vAlign w:val="center"/>
          </w:tcPr>
          <w:p>
            <w:pPr>
              <w:spacing w:after="0"/>
            </w:pPr>
            <w:r>
              <w:t>Parish life, service to one’s neighbour, participation in charitable activity, and age-appropriate church service.</w:t>
            </w:r>
            <w:r>
              <w:rPr>
                <w:rFonts w:ascii="Aptos" w:hAnsi="Aptos" w:eastAsia="Aptos"/>
                <w:sz w:val="18"/>
              </w:rPr>
            </w:r>
          </w:p>
        </w:tc>
      </w:tr>
    </w:tbl>
    <w:p>
      <w:pPr>
        <w:widowControl/>
        <w:spacing w:after="20"/>
      </w:pPr>
    </w:p>
    <w:p>
      <w:pPr>
        <w:pStyle w:val="Heading2"/>
        <w:widowControl/>
      </w:pPr>
      <w:r>
        <w:t>8. Learning Outcomes by Level</w:t>
      </w:r>
    </w:p>
    <w:tbl>
      <w:tblPr>
        <w:tblW w:type="auto" w:w="0"/>
        <w:jc w:val="center"/>
        <w:tblLayout w:type="fixed"/>
        <w:tblLook w:firstColumn="1" w:firstRow="1" w:lastColumn="0" w:lastRow="0" w:noHBand="0" w:noVBand="1" w:val="04A0"/>
      </w:tblPr>
      <w:tblGrid>
        <w:gridCol w:w="4896"/>
        <w:gridCol w:w="4896"/>
      </w:tblGrid>
      <w:tr>
        <w:trPr>
          <w:tblHeader w:val="true"/>
          <w:cantSplit/>
          <w:cantSplit/>
        </w:trPr>
        <w:tc>
          <w:tcPr>
            <w:tcW w:type="dxa" w:w="1440"/>
            <w:shd w:fill="243A5E"/>
            <w:tcMar>
              <w:top w:w="120" w:type="dxa"/>
              <w:start w:w="120" w:type="dxa"/>
              <w:bottom w:w="120" w:type="dxa"/>
              <w:end w:w="120" w:type="dxa"/>
            </w:tcMar>
            <w:vAlign w:val="center"/>
          </w:tcPr>
          <w:p>
            <w:pPr>
              <w:jc w:val="center"/>
            </w:pPr>
            <w:r>
              <w:t>Level</w:t>
            </w:r>
            <w:r>
              <w:rPr>
                <w:rFonts w:ascii="Aptos" w:hAnsi="Aptos" w:eastAsia="Aptos"/>
                <w:b/>
                <w:color w:val="FFFFFF"/>
                <w:sz w:val="19"/>
              </w:rPr>
            </w:r>
          </w:p>
        </w:tc>
        <w:tc>
          <w:tcPr>
            <w:tcW w:type="dxa" w:w="7920"/>
            <w:shd w:fill="243A5E"/>
            <w:tcMar>
              <w:top w:w="120" w:type="dxa"/>
              <w:start w:w="120" w:type="dxa"/>
              <w:bottom w:w="120" w:type="dxa"/>
              <w:end w:w="120" w:type="dxa"/>
            </w:tcMar>
            <w:vAlign w:val="center"/>
          </w:tcPr>
          <w:p>
            <w:pPr>
              <w:jc w:val="center"/>
            </w:pPr>
            <w:r>
              <w:t>Minimum Completion Outcomes</w:t>
            </w:r>
            <w:r>
              <w:rPr>
                <w:rFonts w:ascii="Aptos" w:hAnsi="Aptos" w:eastAsia="Aptos"/>
                <w:b/>
                <w:color w:val="FFFFFF"/>
                <w:sz w:val="19"/>
              </w:rPr>
            </w:r>
          </w:p>
        </w:tc>
      </w:tr>
      <w:tr>
        <w:trPr>
          <w:cantSplit/>
          <w:cantSplit/>
        </w:trPr>
        <w:tc>
          <w:tcPr>
            <w:tcW w:type="dxa" w:w="1440"/>
            <w:tcMar>
              <w:top w:w="100" w:type="dxa"/>
              <w:start w:w="120" w:type="dxa"/>
              <w:bottom w:w="100" w:type="dxa"/>
              <w:end w:w="120" w:type="dxa"/>
            </w:tcMar>
            <w:vAlign w:val="center"/>
          </w:tcPr>
          <w:p>
            <w:pPr>
              <w:spacing w:after="0"/>
            </w:pPr>
            <w:r/>
            <w:r>
              <w:rPr>
                <w:rFonts w:ascii="Aptos" w:hAnsi="Aptos" w:eastAsia="Aptos"/>
                <w:sz w:val="18"/>
              </w:rPr>
              <w:t>SS-0</w:t>
            </w:r>
          </w:p>
        </w:tc>
        <w:tc>
          <w:tcPr>
            <w:tcW w:type="dxa" w:w="7920"/>
            <w:tcMar>
              <w:top w:w="100" w:type="dxa"/>
              <w:start w:w="120" w:type="dxa"/>
              <w:bottom w:w="100" w:type="dxa"/>
              <w:end w:w="120" w:type="dxa"/>
            </w:tcMar>
            <w:vAlign w:val="center"/>
          </w:tcPr>
          <w:p>
            <w:pPr>
              <w:spacing w:after="0"/>
            </w:pPr>
            <w:r>
              <w:t>Recognises major Christian symbols and feasts; can participate in simple prayers; retells key biblical stories.</w:t>
            </w:r>
            <w:r>
              <w:rPr>
                <w:rFonts w:ascii="Aptos" w:hAnsi="Aptos" w:eastAsia="Aptos"/>
                <w:sz w:val="18"/>
              </w:rPr>
            </w:r>
          </w:p>
        </w:tc>
      </w:tr>
      <w:tr>
        <w:trPr>
          <w:cantSplit/>
          <w:cantSplit/>
        </w:trPr>
        <w:tc>
          <w:tcPr>
            <w:tcW w:type="dxa" w:w="1440"/>
            <w:tcMar>
              <w:top w:w="100" w:type="dxa"/>
              <w:start w:w="120" w:type="dxa"/>
              <w:bottom w:w="100" w:type="dxa"/>
              <w:end w:w="120" w:type="dxa"/>
            </w:tcMar>
            <w:vAlign w:val="center"/>
          </w:tcPr>
          <w:p>
            <w:pPr>
              <w:spacing w:after="0"/>
            </w:pPr>
            <w:r/>
            <w:r>
              <w:rPr>
                <w:rFonts w:ascii="Aptos" w:hAnsi="Aptos" w:eastAsia="Aptos"/>
                <w:sz w:val="18"/>
              </w:rPr>
              <w:t>SS-1</w:t>
            </w:r>
          </w:p>
        </w:tc>
        <w:tc>
          <w:tcPr>
            <w:tcW w:type="dxa" w:w="7920"/>
            <w:tcMar>
              <w:top w:w="100" w:type="dxa"/>
              <w:start w:w="120" w:type="dxa"/>
              <w:bottom w:w="100" w:type="dxa"/>
              <w:end w:w="120" w:type="dxa"/>
            </w:tcMar>
            <w:vAlign w:val="center"/>
          </w:tcPr>
          <w:p>
            <w:pPr>
              <w:spacing w:after="0"/>
            </w:pPr>
            <w:r>
              <w:t>Knows the principal events of the Old and New Testaments, major prayers and feasts; understands the basic meaning of the church, worship, and the Sacraments.</w:t>
            </w:r>
            <w:r>
              <w:rPr>
                <w:rFonts w:ascii="Aptos" w:hAnsi="Aptos" w:eastAsia="Aptos"/>
                <w:sz w:val="18"/>
              </w:rPr>
            </w:r>
          </w:p>
        </w:tc>
      </w:tr>
      <w:tr>
        <w:trPr>
          <w:cantSplit/>
          <w:cantSplit/>
        </w:trPr>
        <w:tc>
          <w:tcPr>
            <w:tcW w:type="dxa" w:w="1440"/>
            <w:tcMar>
              <w:top w:w="100" w:type="dxa"/>
              <w:start w:w="120" w:type="dxa"/>
              <w:bottom w:w="100" w:type="dxa"/>
              <w:end w:w="120" w:type="dxa"/>
            </w:tcMar>
            <w:vAlign w:val="center"/>
          </w:tcPr>
          <w:p>
            <w:pPr>
              <w:spacing w:after="0"/>
            </w:pPr>
            <w:r/>
            <w:r>
              <w:rPr>
                <w:rFonts w:ascii="Aptos" w:hAnsi="Aptos" w:eastAsia="Aptos"/>
                <w:sz w:val="18"/>
              </w:rPr>
              <w:t>SS-2</w:t>
            </w:r>
          </w:p>
        </w:tc>
        <w:tc>
          <w:tcPr>
            <w:tcW w:type="dxa" w:w="7920"/>
            <w:tcMar>
              <w:top w:w="100" w:type="dxa"/>
              <w:start w:w="120" w:type="dxa"/>
              <w:bottom w:w="100" w:type="dxa"/>
              <w:end w:w="120" w:type="dxa"/>
            </w:tcMar>
            <w:vAlign w:val="center"/>
          </w:tcPr>
          <w:p>
            <w:pPr>
              <w:spacing w:after="0"/>
            </w:pPr>
            <w:r>
              <w:t>Can explain the main articles of the Creed, relate biblical texts to Church teaching, describe major periods of Church history, and apply moral principles to real-life situations.</w:t>
            </w:r>
            <w:r>
              <w:rPr>
                <w:rFonts w:ascii="Aptos" w:hAnsi="Aptos" w:eastAsia="Aptos"/>
                <w:sz w:val="18"/>
              </w:rPr>
            </w:r>
          </w:p>
        </w:tc>
      </w:tr>
      <w:tr>
        <w:trPr>
          <w:cantSplit/>
          <w:cantSplit/>
        </w:trPr>
        <w:tc>
          <w:tcPr>
            <w:tcW w:type="dxa" w:w="1440"/>
            <w:tcMar>
              <w:top w:w="100" w:type="dxa"/>
              <w:start w:w="120" w:type="dxa"/>
              <w:bottom w:w="100" w:type="dxa"/>
              <w:end w:w="120" w:type="dxa"/>
            </w:tcMar>
            <w:vAlign w:val="center"/>
          </w:tcPr>
          <w:p>
            <w:pPr>
              <w:spacing w:after="0"/>
            </w:pPr>
            <w:r/>
            <w:r>
              <w:rPr>
                <w:rFonts w:ascii="Aptos" w:hAnsi="Aptos" w:eastAsia="Aptos"/>
                <w:sz w:val="18"/>
              </w:rPr>
              <w:t>SS-3</w:t>
            </w:r>
          </w:p>
        </w:tc>
        <w:tc>
          <w:tcPr>
            <w:tcW w:type="dxa" w:w="7920"/>
            <w:tcMar>
              <w:top w:w="100" w:type="dxa"/>
              <w:start w:w="120" w:type="dxa"/>
              <w:bottom w:w="100" w:type="dxa"/>
              <w:end w:w="120" w:type="dxa"/>
            </w:tcMar>
            <w:vAlign w:val="center"/>
          </w:tcPr>
          <w:p>
            <w:pPr>
              <w:spacing w:after="0"/>
            </w:pPr>
            <w:r>
              <w:t>Can discuss questions of faith with reasoned argument, work with biblical and ecclesiastical sources, distinguish theological, moral, and canonical aspects of issues, and plan a form of personal or community service.</w:t>
            </w:r>
            <w:r>
              <w:rPr>
                <w:rFonts w:ascii="Aptos" w:hAnsi="Aptos" w:eastAsia="Aptos"/>
                <w:sz w:val="18"/>
              </w:rPr>
            </w:r>
          </w:p>
        </w:tc>
      </w:tr>
      <w:tr>
        <w:trPr>
          <w:cantSplit/>
          <w:cantSplit/>
        </w:trPr>
        <w:tc>
          <w:tcPr>
            <w:tcW w:type="dxa" w:w="1440"/>
            <w:tcMar>
              <w:top w:w="100" w:type="dxa"/>
              <w:start w:w="120" w:type="dxa"/>
              <w:bottom w:w="100" w:type="dxa"/>
              <w:end w:w="120" w:type="dxa"/>
            </w:tcMar>
            <w:vAlign w:val="center"/>
          </w:tcPr>
          <w:p>
            <w:pPr>
              <w:spacing w:after="0"/>
            </w:pPr>
            <w:r/>
            <w:r>
              <w:rPr>
                <w:rFonts w:ascii="Aptos" w:hAnsi="Aptos" w:eastAsia="Aptos"/>
                <w:sz w:val="18"/>
              </w:rPr>
              <w:t>SS-A</w:t>
            </w:r>
          </w:p>
        </w:tc>
        <w:tc>
          <w:tcPr>
            <w:tcW w:type="dxa" w:w="7920"/>
            <w:tcMar>
              <w:top w:w="100" w:type="dxa"/>
              <w:start w:w="120" w:type="dxa"/>
              <w:bottom w:w="100" w:type="dxa"/>
              <w:end w:w="120" w:type="dxa"/>
            </w:tcMar>
            <w:vAlign w:val="center"/>
          </w:tcPr>
          <w:p>
            <w:pPr>
              <w:spacing w:after="0"/>
            </w:pPr>
            <w:r>
              <w:t>Understands the foundations of doctrine and liturgical life, knows the principal church practices, and is able to participate consciously in community life within his or her ecclesiastical tradition.</w:t>
            </w:r>
            <w:r>
              <w:rPr>
                <w:rFonts w:ascii="Aptos" w:hAnsi="Aptos" w:eastAsia="Aptos"/>
                <w:sz w:val="18"/>
              </w:rPr>
            </w:r>
          </w:p>
        </w:tc>
      </w:tr>
    </w:tbl>
    <w:p>
      <w:pPr>
        <w:widowControl/>
        <w:spacing w:after="20"/>
      </w:pPr>
    </w:p>
    <w:p>
      <w:pPr>
        <w:pStyle w:val="Heading2"/>
        <w:widowControl/>
      </w:pPr>
      <w:r>
        <w:t>9. Assessment and Progression between Levels</w:t>
      </w:r>
    </w:p>
    <w:p>
      <w:pPr>
        <w:pStyle w:val="ListBullet"/>
        <w:widowControl/>
        <w:spacing w:after="40"/>
      </w:pPr>
      <w:r>
        <w:rPr>
          <w:rFonts w:ascii="Aptos" w:hAnsi="Aptos" w:eastAsia="Aptos"/>
          <w:sz w:val="21"/>
        </w:rPr>
        <w:t>For SS-0, assessment shall be exclusively observational and developmental.</w:t>
      </w:r>
    </w:p>
    <w:p>
      <w:pPr>
        <w:pStyle w:val="ListBullet"/>
        <w:widowControl/>
        <w:spacing w:after="40"/>
      </w:pPr>
      <w:r>
        <w:rPr>
          <w:rFonts w:ascii="Aptos" w:hAnsi="Aptos" w:eastAsia="Aptos"/>
          <w:sz w:val="21"/>
        </w:rPr>
        <w:t>For SS-1, oral responses, creative assignments, small projects, and simple written checks may be used.</w:t>
      </w:r>
    </w:p>
    <w:p>
      <w:pPr>
        <w:pStyle w:val="ListBullet"/>
        <w:widowControl/>
        <w:spacing w:after="40"/>
      </w:pPr>
      <w:r>
        <w:rPr>
          <w:rFonts w:ascii="Aptos" w:hAnsi="Aptos" w:eastAsia="Aptos"/>
          <w:sz w:val="21"/>
        </w:rPr>
        <w:t>For SS-2 and SS-3, a combination of oral response, written work, a project, or a practical assignment is recommended.</w:t>
      </w:r>
    </w:p>
    <w:p>
      <w:pPr>
        <w:pStyle w:val="ListBullet"/>
        <w:widowControl/>
        <w:spacing w:after="40"/>
      </w:pPr>
      <w:r>
        <w:rPr>
          <w:rFonts w:ascii="Aptos" w:hAnsi="Aptos" w:eastAsia="Aptos"/>
          <w:sz w:val="21"/>
        </w:rPr>
        <w:t>The final decision on completion of a level shall take into account not only tests, but also participation, understanding of the material, and completion of required work.</w:t>
      </w:r>
    </w:p>
    <w:p>
      <w:pPr>
        <w:pStyle w:val="ListBullet"/>
        <w:widowControl/>
        <w:spacing w:after="40"/>
      </w:pPr>
      <w:r>
        <w:rPr>
          <w:rFonts w:ascii="Aptos" w:hAnsi="Aptos" w:eastAsia="Aptos"/>
          <w:sz w:val="21"/>
        </w:rPr>
        <w:t>Religious conviction, frequency of confession, or other elements of a person’s inner spiritual life shall not be graded.</w:t>
      </w:r>
    </w:p>
    <w:p>
      <w:pPr>
        <w:pStyle w:val="Heading2"/>
        <w:widowControl/>
      </w:pPr>
      <w:r>
        <w:t>10. Sunday School Teachers</w:t>
      </w:r>
    </w:p>
    <w:tbl>
      <w:tblPr>
        <w:tblW w:type="auto" w:w="0"/>
        <w:jc w:val="center"/>
        <w:tblLayout w:type="fixed"/>
        <w:tblLook w:firstColumn="1" w:firstRow="1" w:lastColumn="0" w:lastRow="0" w:noHBand="0" w:noVBand="1" w:val="04A0"/>
      </w:tblPr>
      <w:tblGrid>
        <w:gridCol w:w="4896"/>
        <w:gridCol w:w="4896"/>
      </w:tblGrid>
      <w:tr>
        <w:trPr>
          <w:tblHeader w:val="true"/>
          <w:cantSplit/>
          <w:cantSplit/>
        </w:trPr>
        <w:tc>
          <w:tcPr>
            <w:tcW w:type="dxa" w:w="2232"/>
            <w:shd w:fill="243A5E"/>
            <w:tcMar>
              <w:top w:w="120" w:type="dxa"/>
              <w:start w:w="120" w:type="dxa"/>
              <w:bottom w:w="120" w:type="dxa"/>
              <w:end w:w="120" w:type="dxa"/>
            </w:tcMar>
            <w:vAlign w:val="center"/>
          </w:tcPr>
          <w:p>
            <w:pPr>
              <w:jc w:val="center"/>
            </w:pPr>
            <w:r>
              <w:t>Area</w:t>
            </w:r>
            <w:r>
              <w:rPr>
                <w:rFonts w:ascii="Aptos" w:hAnsi="Aptos" w:eastAsia="Aptos"/>
                <w:b/>
                <w:color w:val="FFFFFF"/>
                <w:sz w:val="19"/>
              </w:rPr>
            </w:r>
          </w:p>
        </w:tc>
        <w:tc>
          <w:tcPr>
            <w:tcW w:type="dxa" w:w="7128"/>
            <w:shd w:fill="243A5E"/>
            <w:tcMar>
              <w:top w:w="120" w:type="dxa"/>
              <w:start w:w="120" w:type="dxa"/>
              <w:bottom w:w="120" w:type="dxa"/>
              <w:end w:w="120" w:type="dxa"/>
            </w:tcMar>
            <w:vAlign w:val="center"/>
          </w:tcPr>
          <w:p>
            <w:pPr>
              <w:jc w:val="center"/>
            </w:pPr>
            <w:r>
              <w:t>Requirement</w:t>
            </w:r>
            <w:r>
              <w:rPr>
                <w:rFonts w:ascii="Aptos" w:hAnsi="Aptos" w:eastAsia="Aptos"/>
                <w:b/>
                <w:color w:val="FFFFFF"/>
                <w:sz w:val="19"/>
              </w:rPr>
            </w:r>
          </w:p>
        </w:tc>
      </w:tr>
      <w:tr>
        <w:trPr>
          <w:cantSplit/>
          <w:cantSplit/>
        </w:trPr>
        <w:tc>
          <w:tcPr>
            <w:tcW w:type="dxa" w:w="2232"/>
            <w:tcMar>
              <w:top w:w="100" w:type="dxa"/>
              <w:start w:w="120" w:type="dxa"/>
              <w:bottom w:w="100" w:type="dxa"/>
              <w:end w:w="120" w:type="dxa"/>
            </w:tcMar>
            <w:vAlign w:val="center"/>
          </w:tcPr>
          <w:p>
            <w:pPr>
              <w:spacing w:after="0"/>
            </w:pPr>
            <w:r>
              <w:t>Basic Requirement</w:t>
            </w:r>
            <w:r>
              <w:rPr>
                <w:rFonts w:ascii="Aptos" w:hAnsi="Aptos" w:eastAsia="Aptos"/>
                <w:sz w:val="18"/>
              </w:rPr>
            </w:r>
          </w:p>
        </w:tc>
        <w:tc>
          <w:tcPr>
            <w:tcW w:type="dxa" w:w="7128"/>
            <w:tcMar>
              <w:top w:w="100" w:type="dxa"/>
              <w:start w:w="120" w:type="dxa"/>
              <w:bottom w:w="100" w:type="dxa"/>
              <w:end w:w="120" w:type="dxa"/>
            </w:tcMar>
            <w:vAlign w:val="center"/>
          </w:tcPr>
          <w:p>
            <w:pPr>
              <w:spacing w:after="0"/>
            </w:pPr>
            <w:r>
              <w:t>Demonstrated good standing within the Church and knowledge of the subject taught.</w:t>
            </w:r>
            <w:r>
              <w:rPr>
                <w:rFonts w:ascii="Aptos" w:hAnsi="Aptos" w:eastAsia="Aptos"/>
                <w:sz w:val="18"/>
              </w:rPr>
            </w:r>
          </w:p>
        </w:tc>
      </w:tr>
      <w:tr>
        <w:trPr>
          <w:cantSplit/>
          <w:cantSplit/>
        </w:trPr>
        <w:tc>
          <w:tcPr>
            <w:tcW w:type="dxa" w:w="2232"/>
            <w:tcMar>
              <w:top w:w="100" w:type="dxa"/>
              <w:start w:w="120" w:type="dxa"/>
              <w:bottom w:w="100" w:type="dxa"/>
              <w:end w:w="120" w:type="dxa"/>
            </w:tcMar>
            <w:vAlign w:val="center"/>
          </w:tcPr>
          <w:p>
            <w:pPr>
              <w:spacing w:after="0"/>
            </w:pPr>
            <w:r>
              <w:t>Theological Formation</w:t>
            </w:r>
            <w:r>
              <w:rPr>
                <w:rFonts w:ascii="Aptos" w:hAnsi="Aptos" w:eastAsia="Aptos"/>
                <w:sz w:val="18"/>
              </w:rPr>
            </w:r>
          </w:p>
        </w:tc>
        <w:tc>
          <w:tcPr>
            <w:tcW w:type="dxa" w:w="7128"/>
            <w:tcMar>
              <w:top w:w="100" w:type="dxa"/>
              <w:start w:w="120" w:type="dxa"/>
              <w:bottom w:w="100" w:type="dxa"/>
              <w:end w:w="120" w:type="dxa"/>
            </w:tcMar>
            <w:vAlign w:val="center"/>
          </w:tcPr>
          <w:p>
            <w:pPr>
              <w:spacing w:after="0"/>
            </w:pPr>
            <w:r>
              <w:t>For SS-2 and SS-3, completed theological or catechetical formation, or internal ecclesiastical authorisation, is preferred.</w:t>
            </w:r>
            <w:r>
              <w:rPr>
                <w:rFonts w:ascii="Aptos" w:hAnsi="Aptos" w:eastAsia="Aptos"/>
                <w:sz w:val="18"/>
              </w:rPr>
            </w:r>
          </w:p>
        </w:tc>
      </w:tr>
      <w:tr>
        <w:trPr>
          <w:cantSplit/>
          <w:cantSplit/>
        </w:trPr>
        <w:tc>
          <w:tcPr>
            <w:tcW w:type="dxa" w:w="2232"/>
            <w:tcMar>
              <w:top w:w="100" w:type="dxa"/>
              <w:start w:w="120" w:type="dxa"/>
              <w:bottom w:w="100" w:type="dxa"/>
              <w:end w:w="120" w:type="dxa"/>
            </w:tcMar>
            <w:vAlign w:val="center"/>
          </w:tcPr>
          <w:p>
            <w:pPr>
              <w:spacing w:after="0"/>
            </w:pPr>
            <w:r>
              <w:t>Pedagogical Preparation</w:t>
            </w:r>
            <w:r>
              <w:rPr>
                <w:rFonts w:ascii="Aptos" w:hAnsi="Aptos" w:eastAsia="Aptos"/>
                <w:sz w:val="18"/>
              </w:rPr>
            </w:r>
          </w:p>
        </w:tc>
        <w:tc>
          <w:tcPr>
            <w:tcW w:type="dxa" w:w="7128"/>
            <w:tcMar>
              <w:top w:w="100" w:type="dxa"/>
              <w:start w:w="120" w:type="dxa"/>
              <w:bottom w:w="100" w:type="dxa"/>
              <w:end w:w="120" w:type="dxa"/>
            </w:tcMar>
            <w:vAlign w:val="center"/>
          </w:tcPr>
          <w:p>
            <w:pPr>
              <w:spacing w:after="0"/>
            </w:pPr>
            <w:r>
              <w:t>Knowledge of age-appropriate pedagogy and methods of working with children.</w:t>
            </w:r>
            <w:r>
              <w:rPr>
                <w:rFonts w:ascii="Aptos" w:hAnsi="Aptos" w:eastAsia="Aptos"/>
                <w:sz w:val="18"/>
              </w:rPr>
            </w:r>
          </w:p>
        </w:tc>
      </w:tr>
      <w:tr>
        <w:trPr>
          <w:cantSplit/>
          <w:cantSplit/>
        </w:trPr>
        <w:tc>
          <w:tcPr>
            <w:tcW w:type="dxa" w:w="2232"/>
            <w:tcMar>
              <w:top w:w="100" w:type="dxa"/>
              <w:start w:w="120" w:type="dxa"/>
              <w:bottom w:w="100" w:type="dxa"/>
              <w:end w:w="120" w:type="dxa"/>
            </w:tcMar>
            <w:vAlign w:val="center"/>
          </w:tcPr>
          <w:p>
            <w:pPr>
              <w:spacing w:after="0"/>
            </w:pPr>
            <w:r/>
            <w:r>
              <w:rPr>
                <w:rFonts w:ascii="Aptos" w:hAnsi="Aptos" w:eastAsia="Aptos"/>
                <w:sz w:val="18"/>
              </w:rPr>
              <w:t>Safeguarding</w:t>
            </w:r>
          </w:p>
        </w:tc>
        <w:tc>
          <w:tcPr>
            <w:tcW w:type="dxa" w:w="7128"/>
            <w:tcMar>
              <w:top w:w="100" w:type="dxa"/>
              <w:start w:w="120" w:type="dxa"/>
              <w:bottom w:w="100" w:type="dxa"/>
              <w:end w:w="120" w:type="dxa"/>
            </w:tcMar>
            <w:vAlign w:val="center"/>
          </w:tcPr>
          <w:p>
            <w:pPr>
              <w:spacing w:after="0"/>
            </w:pPr>
            <w:r>
              <w:t>Mandatory training in child-protection rules; background screening to the extent required by local law.</w:t>
            </w:r>
            <w:r>
              <w:rPr>
                <w:rFonts w:ascii="Aptos" w:hAnsi="Aptos" w:eastAsia="Aptos"/>
                <w:sz w:val="18"/>
              </w:rPr>
            </w:r>
          </w:p>
        </w:tc>
      </w:tr>
      <w:tr>
        <w:trPr>
          <w:cantSplit/>
          <w:cantSplit/>
        </w:trPr>
        <w:tc>
          <w:tcPr>
            <w:tcW w:type="dxa" w:w="2232"/>
            <w:tcMar>
              <w:top w:w="100" w:type="dxa"/>
              <w:start w:w="120" w:type="dxa"/>
              <w:bottom w:w="100" w:type="dxa"/>
              <w:end w:w="120" w:type="dxa"/>
            </w:tcMar>
            <w:vAlign w:val="center"/>
          </w:tcPr>
          <w:p>
            <w:pPr>
              <w:spacing w:after="0"/>
            </w:pPr>
            <w:r>
              <w:t>Ecclesiastical Authorisation</w:t>
            </w:r>
            <w:r>
              <w:rPr>
                <w:rFonts w:ascii="Aptos" w:hAnsi="Aptos" w:eastAsia="Aptos"/>
                <w:sz w:val="18"/>
              </w:rPr>
            </w:r>
          </w:p>
        </w:tc>
        <w:tc>
          <w:tcPr>
            <w:tcW w:type="dxa" w:w="7128"/>
            <w:tcMar>
              <w:top w:w="100" w:type="dxa"/>
              <w:start w:w="120" w:type="dxa"/>
              <w:bottom w:w="100" w:type="dxa"/>
              <w:end w:w="120" w:type="dxa"/>
            </w:tcMar>
            <w:vAlign w:val="center"/>
          </w:tcPr>
          <w:p>
            <w:pPr>
              <w:spacing w:after="0"/>
            </w:pPr>
            <w:r>
              <w:t>The teacher shall act with the authorisation of the parish rector, school director, or another competent ecclesiastical authority.</w:t>
            </w:r>
            <w:r>
              <w:rPr>
                <w:rFonts w:ascii="Aptos" w:hAnsi="Aptos" w:eastAsia="Aptos"/>
                <w:sz w:val="18"/>
              </w:rPr>
            </w:r>
          </w:p>
        </w:tc>
      </w:tr>
    </w:tbl>
    <w:p>
      <w:pPr>
        <w:widowControl/>
        <w:spacing w:after="20"/>
      </w:pPr>
    </w:p>
    <w:p>
      <w:pPr>
        <w:pStyle w:val="Heading2"/>
        <w:widowControl/>
      </w:pPr>
      <w:r>
        <w:t>11. Safeguarding and Child Protection</w:t>
      </w:r>
    </w:p>
    <w:p>
      <w:pPr>
        <w:pStyle w:val="ListBullet"/>
        <w:widowControl/>
        <w:spacing w:after="40"/>
      </w:pPr>
      <w:r>
        <w:rPr>
          <w:rFonts w:ascii="Aptos" w:hAnsi="Aptos" w:eastAsia="Aptos"/>
          <w:sz w:val="21"/>
        </w:rPr>
        <w:t>Written safeguarding and complaints-response policies are mandatory for organisations working with minors.</w:t>
      </w:r>
    </w:p>
    <w:p>
      <w:pPr>
        <w:pStyle w:val="ListBullet"/>
        <w:widowControl/>
        <w:spacing w:after="40"/>
      </w:pPr>
      <w:r>
        <w:rPr>
          <w:rFonts w:ascii="Aptos" w:hAnsi="Aptos" w:eastAsia="Aptos"/>
          <w:sz w:val="21"/>
        </w:rPr>
        <w:t>Corporal punishment, humiliation, public shaming, threats of religious punishment as a disciplinary method, sexualised conduct, and any form of violence are prohibited.</w:t>
      </w:r>
    </w:p>
    <w:p>
      <w:pPr>
        <w:pStyle w:val="ListBullet"/>
        <w:widowControl/>
        <w:spacing w:after="40"/>
      </w:pPr>
      <w:r>
        <w:rPr>
          <w:rFonts w:ascii="Aptos" w:hAnsi="Aptos" w:eastAsia="Aptos"/>
          <w:sz w:val="21"/>
        </w:rPr>
        <w:t>Rules shall be established for photography and video recording, communication between teachers and children, transportation, overnight activities, and one-to-one meetings.</w:t>
      </w:r>
    </w:p>
    <w:p>
      <w:pPr>
        <w:pStyle w:val="ListBullet"/>
        <w:widowControl/>
        <w:spacing w:after="40"/>
      </w:pPr>
      <w:r>
        <w:rPr>
          <w:rFonts w:ascii="Aptos" w:hAnsi="Aptos" w:eastAsia="Aptos"/>
          <w:sz w:val="21"/>
        </w:rPr>
        <w:t>The organisation shall comply with local requirements concerning parental consent, data protection, first aid, and mandatory reporting of risks of abuse or violence.</w:t>
      </w:r>
    </w:p>
    <w:p>
      <w:pPr>
        <w:widowControl/>
      </w:pPr>
      <w:r>
        <w:br w:type="page"/>
      </w:r>
    </w:p>
    <w:p>
      <w:pPr>
        <w:pStyle w:val="Heading1"/>
        <w:widowControl/>
      </w:pPr>
      <w:r>
        <w:t>PART II. SPECIALIZED COURSES STANDARD</w:t>
      </w:r>
    </w:p>
    <w:p>
      <w:pPr>
        <w:pStyle w:val="Heading2"/>
        <w:widowControl/>
      </w:pPr>
      <w:r>
        <w:t>12. Purpose of Specialized Courses</w:t>
      </w:r>
    </w:p>
    <w:p>
      <w:pPr>
        <w:widowControl/>
      </w:pPr>
      <w:r>
        <w:t>Specialized Courses are intended for the study of a specific subject or the development of a defined competence without the award of an academic degree. They may be theological, catechetical, pastoral, liturgical, musical, social, administrative, missionary, media-related, artistic, or practical.</w:t>
      </w:r>
    </w:p>
    <w:p>
      <w:pPr>
        <w:pStyle w:val="Heading2"/>
        <w:widowControl/>
      </w:pPr>
      <w:r>
        <w:t>13. Classification of Courses by Volume</w:t>
      </w:r>
    </w:p>
    <w:tbl>
      <w:tblPr>
        <w:tblW w:type="auto" w:w="0"/>
        <w:jc w:val="center"/>
        <w:tblLayout w:type="fixed"/>
        <w:tblLook w:firstColumn="1" w:firstRow="1" w:lastColumn="0" w:lastRow="0" w:noHBand="0" w:noVBand="1" w:val="04A0"/>
      </w:tblPr>
      <w:tblGrid>
        <w:gridCol w:w="2448"/>
        <w:gridCol w:w="2448"/>
        <w:gridCol w:w="2448"/>
        <w:gridCol w:w="2448"/>
      </w:tblGrid>
      <w:tr>
        <w:trPr>
          <w:tblHeader w:val="true"/>
          <w:cantSplit/>
          <w:cantSplit/>
        </w:trPr>
        <w:tc>
          <w:tcPr>
            <w:tcW w:type="dxa" w:w="936"/>
            <w:shd w:fill="243A5E"/>
            <w:tcMar>
              <w:top w:w="120" w:type="dxa"/>
              <w:start w:w="120" w:type="dxa"/>
              <w:bottom w:w="120" w:type="dxa"/>
              <w:end w:w="120" w:type="dxa"/>
            </w:tcMar>
            <w:vAlign w:val="center"/>
          </w:tcPr>
          <w:p>
            <w:pPr>
              <w:jc w:val="center"/>
            </w:pPr>
            <w:r>
              <w:t>Code</w:t>
            </w:r>
            <w:r>
              <w:rPr>
                <w:rFonts w:ascii="Aptos" w:hAnsi="Aptos" w:eastAsia="Aptos"/>
                <w:b/>
                <w:color w:val="FFFFFF"/>
                <w:sz w:val="19"/>
              </w:rPr>
            </w:r>
          </w:p>
        </w:tc>
        <w:tc>
          <w:tcPr>
            <w:tcW w:type="dxa" w:w="2304"/>
            <w:shd w:fill="243A5E"/>
            <w:tcMar>
              <w:top w:w="120" w:type="dxa"/>
              <w:start w:w="120" w:type="dxa"/>
              <w:bottom w:w="120" w:type="dxa"/>
              <w:end w:w="120" w:type="dxa"/>
            </w:tcMar>
            <w:vAlign w:val="center"/>
          </w:tcPr>
          <w:p>
            <w:pPr>
              <w:jc w:val="center"/>
            </w:pPr>
            <w:r>
              <w:t>Type</w:t>
            </w:r>
            <w:r>
              <w:rPr>
                <w:rFonts w:ascii="Aptos" w:hAnsi="Aptos" w:eastAsia="Aptos"/>
                <w:b/>
                <w:color w:val="FFFFFF"/>
                <w:sz w:val="19"/>
              </w:rPr>
            </w:r>
          </w:p>
        </w:tc>
        <w:tc>
          <w:tcPr>
            <w:tcW w:type="dxa" w:w="1800"/>
            <w:shd w:fill="243A5E"/>
            <w:tcMar>
              <w:top w:w="120" w:type="dxa"/>
              <w:start w:w="120" w:type="dxa"/>
              <w:bottom w:w="120" w:type="dxa"/>
              <w:end w:w="120" w:type="dxa"/>
            </w:tcMar>
            <w:vAlign w:val="center"/>
          </w:tcPr>
          <w:p>
            <w:pPr>
              <w:jc w:val="center"/>
            </w:pPr>
            <w:r>
              <w:t>Volume</w:t>
            </w:r>
            <w:r>
              <w:rPr>
                <w:rFonts w:ascii="Aptos" w:hAnsi="Aptos" w:eastAsia="Aptos"/>
                <w:b/>
                <w:color w:val="FFFFFF"/>
                <w:sz w:val="19"/>
              </w:rPr>
            </w:r>
          </w:p>
        </w:tc>
        <w:tc>
          <w:tcPr>
            <w:tcW w:type="dxa" w:w="4320"/>
            <w:shd w:fill="243A5E"/>
            <w:tcMar>
              <w:top w:w="120" w:type="dxa"/>
              <w:start w:w="120" w:type="dxa"/>
              <w:bottom w:w="120" w:type="dxa"/>
              <w:end w:w="120" w:type="dxa"/>
            </w:tcMar>
            <w:vAlign w:val="center"/>
          </w:tcPr>
          <w:p>
            <w:pPr>
              <w:jc w:val="center"/>
            </w:pPr>
            <w:r>
              <w:t>Purpose</w:t>
            </w:r>
            <w:r>
              <w:rPr>
                <w:rFonts w:ascii="Aptos" w:hAnsi="Aptos" w:eastAsia="Aptos"/>
                <w:b/>
                <w:color w:val="FFFFFF"/>
                <w:sz w:val="19"/>
              </w:rPr>
            </w:r>
          </w:p>
        </w:tc>
      </w:tr>
      <w:tr>
        <w:trPr>
          <w:cantSplit/>
          <w:cantSplit/>
        </w:trPr>
        <w:tc>
          <w:tcPr>
            <w:tcW w:type="dxa" w:w="936"/>
            <w:tcMar>
              <w:top w:w="100" w:type="dxa"/>
              <w:start w:w="120" w:type="dxa"/>
              <w:bottom w:w="100" w:type="dxa"/>
              <w:end w:w="120" w:type="dxa"/>
            </w:tcMar>
            <w:vAlign w:val="center"/>
          </w:tcPr>
          <w:p>
            <w:pPr>
              <w:spacing w:after="0"/>
            </w:pPr>
            <w:r/>
            <w:r>
              <w:rPr>
                <w:rFonts w:ascii="Aptos" w:hAnsi="Aptos" w:eastAsia="Aptos"/>
                <w:sz w:val="18"/>
              </w:rPr>
              <w:t>SC-1</w:t>
            </w:r>
          </w:p>
        </w:tc>
        <w:tc>
          <w:tcPr>
            <w:tcW w:type="dxa" w:w="2304"/>
            <w:tcMar>
              <w:top w:w="100" w:type="dxa"/>
              <w:start w:w="120" w:type="dxa"/>
              <w:bottom w:w="100" w:type="dxa"/>
              <w:end w:w="120" w:type="dxa"/>
            </w:tcMar>
            <w:vAlign w:val="center"/>
          </w:tcPr>
          <w:p>
            <w:pPr>
              <w:spacing w:after="0"/>
              <w:jc w:val="center"/>
            </w:pPr>
            <w:r>
              <w:t>Short Course</w:t>
            </w:r>
            <w:r>
              <w:rPr>
                <w:rFonts w:ascii="Aptos" w:hAnsi="Aptos" w:eastAsia="Aptos"/>
                <w:sz w:val="18"/>
              </w:rPr>
            </w:r>
          </w:p>
        </w:tc>
        <w:tc>
          <w:tcPr>
            <w:tcW w:type="dxa" w:w="1800"/>
            <w:tcMar>
              <w:top w:w="100" w:type="dxa"/>
              <w:start w:w="120" w:type="dxa"/>
              <w:bottom w:w="100" w:type="dxa"/>
              <w:end w:w="120" w:type="dxa"/>
            </w:tcMar>
            <w:vAlign w:val="center"/>
          </w:tcPr>
          <w:p>
            <w:pPr>
              <w:spacing w:after="0"/>
              <w:jc w:val="center"/>
            </w:pPr>
            <w:r>
              <w:t>6–15 academic hours</w:t>
            </w:r>
            <w:r>
              <w:rPr>
                <w:rFonts w:ascii="Aptos" w:hAnsi="Aptos" w:eastAsia="Aptos"/>
                <w:sz w:val="18"/>
              </w:rPr>
            </w:r>
          </w:p>
        </w:tc>
        <w:tc>
          <w:tcPr>
            <w:tcW w:type="dxa" w:w="4320"/>
            <w:tcMar>
              <w:top w:w="100" w:type="dxa"/>
              <w:start w:w="120" w:type="dxa"/>
              <w:bottom w:w="100" w:type="dxa"/>
              <w:end w:w="120" w:type="dxa"/>
            </w:tcMar>
            <w:vAlign w:val="center"/>
          </w:tcPr>
          <w:p>
            <w:pPr>
              <w:spacing w:after="0"/>
            </w:pPr>
            <w:r>
              <w:t>Introduction to a single topic; Certificate of Participation or Certificate of Completion.</w:t>
            </w:r>
            <w:r>
              <w:rPr>
                <w:rFonts w:ascii="Aptos" w:hAnsi="Aptos" w:eastAsia="Aptos"/>
                <w:sz w:val="18"/>
              </w:rPr>
            </w:r>
          </w:p>
        </w:tc>
      </w:tr>
      <w:tr>
        <w:trPr>
          <w:cantSplit/>
          <w:cantSplit/>
        </w:trPr>
        <w:tc>
          <w:tcPr>
            <w:tcW w:type="dxa" w:w="936"/>
            <w:tcMar>
              <w:top w:w="100" w:type="dxa"/>
              <w:start w:w="120" w:type="dxa"/>
              <w:bottom w:w="100" w:type="dxa"/>
              <w:end w:w="120" w:type="dxa"/>
            </w:tcMar>
            <w:vAlign w:val="center"/>
          </w:tcPr>
          <w:p>
            <w:pPr>
              <w:spacing w:after="0"/>
            </w:pPr>
            <w:r/>
            <w:r>
              <w:rPr>
                <w:rFonts w:ascii="Aptos" w:hAnsi="Aptos" w:eastAsia="Aptos"/>
                <w:sz w:val="18"/>
              </w:rPr>
              <w:t>SC-2</w:t>
            </w:r>
          </w:p>
        </w:tc>
        <w:tc>
          <w:tcPr>
            <w:tcW w:type="dxa" w:w="2304"/>
            <w:tcMar>
              <w:top w:w="100" w:type="dxa"/>
              <w:start w:w="120" w:type="dxa"/>
              <w:bottom w:w="100" w:type="dxa"/>
              <w:end w:w="120" w:type="dxa"/>
            </w:tcMar>
            <w:vAlign w:val="center"/>
          </w:tcPr>
          <w:p>
            <w:pPr>
              <w:spacing w:after="0"/>
            </w:pPr>
            <w:r>
              <w:t>Basic Certificate Course</w:t>
            </w:r>
            <w:r>
              <w:rPr>
                <w:rFonts w:ascii="Aptos" w:hAnsi="Aptos" w:eastAsia="Aptos"/>
                <w:sz w:val="18"/>
              </w:rPr>
            </w:r>
          </w:p>
        </w:tc>
        <w:tc>
          <w:tcPr>
            <w:tcW w:type="dxa" w:w="1800"/>
            <w:tcMar>
              <w:top w:w="100" w:type="dxa"/>
              <w:start w:w="120" w:type="dxa"/>
              <w:bottom w:w="100" w:type="dxa"/>
              <w:end w:w="120" w:type="dxa"/>
            </w:tcMar>
            <w:vAlign w:val="center"/>
          </w:tcPr>
          <w:p>
            <w:pPr>
              <w:spacing w:after="0"/>
              <w:jc w:val="center"/>
            </w:pPr>
            <w:r>
              <w:t>16–40 hours</w:t>
            </w:r>
            <w:r>
              <w:rPr>
                <w:rFonts w:ascii="Aptos" w:hAnsi="Aptos" w:eastAsia="Aptos"/>
                <w:sz w:val="18"/>
              </w:rPr>
            </w:r>
          </w:p>
        </w:tc>
        <w:tc>
          <w:tcPr>
            <w:tcW w:type="dxa" w:w="4320"/>
            <w:tcMar>
              <w:top w:w="100" w:type="dxa"/>
              <w:start w:w="120" w:type="dxa"/>
              <w:bottom w:w="100" w:type="dxa"/>
              <w:end w:w="120" w:type="dxa"/>
            </w:tcMar>
            <w:vAlign w:val="center"/>
          </w:tcPr>
          <w:p>
            <w:pPr>
              <w:spacing w:after="0"/>
            </w:pPr>
            <w:r>
              <w:t>Development of basic knowledge and/or one defined set of skills.</w:t>
            </w:r>
            <w:r>
              <w:rPr>
                <w:rFonts w:ascii="Aptos" w:hAnsi="Aptos" w:eastAsia="Aptos"/>
                <w:sz w:val="18"/>
              </w:rPr>
            </w:r>
          </w:p>
        </w:tc>
      </w:tr>
      <w:tr>
        <w:trPr>
          <w:cantSplit/>
          <w:cantSplit/>
        </w:trPr>
        <w:tc>
          <w:tcPr>
            <w:tcW w:type="dxa" w:w="936"/>
            <w:tcMar>
              <w:top w:w="100" w:type="dxa"/>
              <w:start w:w="120" w:type="dxa"/>
              <w:bottom w:w="100" w:type="dxa"/>
              <w:end w:w="120" w:type="dxa"/>
            </w:tcMar>
            <w:vAlign w:val="center"/>
          </w:tcPr>
          <w:p>
            <w:pPr>
              <w:spacing w:after="0"/>
            </w:pPr>
            <w:r/>
            <w:r>
              <w:rPr>
                <w:rFonts w:ascii="Aptos" w:hAnsi="Aptos" w:eastAsia="Aptos"/>
                <w:sz w:val="18"/>
              </w:rPr>
              <w:t>SC-3</w:t>
            </w:r>
          </w:p>
        </w:tc>
        <w:tc>
          <w:tcPr>
            <w:tcW w:type="dxa" w:w="2304"/>
            <w:tcMar>
              <w:top w:w="100" w:type="dxa"/>
              <w:start w:w="120" w:type="dxa"/>
              <w:bottom w:w="100" w:type="dxa"/>
              <w:end w:w="120" w:type="dxa"/>
            </w:tcMar>
            <w:vAlign w:val="center"/>
          </w:tcPr>
          <w:p>
            <w:pPr>
              <w:spacing w:after="0"/>
            </w:pPr>
            <w:r>
              <w:t>Advanced Certificate Course</w:t>
            </w:r>
            <w:r>
              <w:rPr>
                <w:rFonts w:ascii="Aptos" w:hAnsi="Aptos" w:eastAsia="Aptos"/>
                <w:sz w:val="18"/>
              </w:rPr>
            </w:r>
          </w:p>
        </w:tc>
        <w:tc>
          <w:tcPr>
            <w:tcW w:type="dxa" w:w="1800"/>
            <w:tcMar>
              <w:top w:w="100" w:type="dxa"/>
              <w:start w:w="120" w:type="dxa"/>
              <w:bottom w:w="100" w:type="dxa"/>
              <w:end w:w="120" w:type="dxa"/>
            </w:tcMar>
            <w:vAlign w:val="center"/>
          </w:tcPr>
          <w:p>
            <w:pPr>
              <w:spacing w:after="0"/>
              <w:jc w:val="center"/>
            </w:pPr>
            <w:r>
              <w:t>41–90 hours</w:t>
            </w:r>
            <w:r>
              <w:rPr>
                <w:rFonts w:ascii="Aptos" w:hAnsi="Aptos" w:eastAsia="Aptos"/>
                <w:sz w:val="18"/>
              </w:rPr>
            </w:r>
          </w:p>
        </w:tc>
        <w:tc>
          <w:tcPr>
            <w:tcW w:type="dxa" w:w="4320"/>
            <w:tcMar>
              <w:top w:w="100" w:type="dxa"/>
              <w:start w:w="120" w:type="dxa"/>
              <w:bottom w:w="100" w:type="dxa"/>
              <w:end w:w="120" w:type="dxa"/>
            </w:tcMar>
            <w:vAlign w:val="center"/>
          </w:tcPr>
          <w:p>
            <w:pPr>
              <w:spacing w:after="0"/>
            </w:pPr>
            <w:r>
              <w:t>Systematic study in a specialisation with mandatory assessment.</w:t>
            </w:r>
            <w:r>
              <w:rPr>
                <w:rFonts w:ascii="Aptos" w:hAnsi="Aptos" w:eastAsia="Aptos"/>
                <w:sz w:val="18"/>
              </w:rPr>
            </w:r>
          </w:p>
        </w:tc>
      </w:tr>
      <w:tr>
        <w:trPr>
          <w:cantSplit/>
          <w:cantSplit/>
        </w:trPr>
        <w:tc>
          <w:tcPr>
            <w:tcW w:type="dxa" w:w="936"/>
            <w:tcMar>
              <w:top w:w="100" w:type="dxa"/>
              <w:start w:w="120" w:type="dxa"/>
              <w:bottom w:w="100" w:type="dxa"/>
              <w:end w:w="120" w:type="dxa"/>
            </w:tcMar>
            <w:vAlign w:val="center"/>
          </w:tcPr>
          <w:p>
            <w:pPr>
              <w:spacing w:after="0"/>
            </w:pPr>
            <w:r/>
            <w:r>
              <w:rPr>
                <w:rFonts w:ascii="Aptos" w:hAnsi="Aptos" w:eastAsia="Aptos"/>
                <w:sz w:val="18"/>
              </w:rPr>
              <w:t>SC-4</w:t>
            </w:r>
          </w:p>
        </w:tc>
        <w:tc>
          <w:tcPr>
            <w:tcW w:type="dxa" w:w="2304"/>
            <w:tcMar>
              <w:top w:w="100" w:type="dxa"/>
              <w:start w:w="120" w:type="dxa"/>
              <w:bottom w:w="100" w:type="dxa"/>
              <w:end w:w="120" w:type="dxa"/>
            </w:tcMar>
            <w:vAlign w:val="center"/>
          </w:tcPr>
          <w:p>
            <w:pPr>
              <w:spacing w:after="0"/>
            </w:pPr>
            <w:r>
              <w:t>Professional Ecclesiastical Course</w:t>
            </w:r>
            <w:r>
              <w:rPr>
                <w:rFonts w:ascii="Aptos" w:hAnsi="Aptos" w:eastAsia="Aptos"/>
                <w:sz w:val="18"/>
              </w:rPr>
            </w:r>
          </w:p>
        </w:tc>
        <w:tc>
          <w:tcPr>
            <w:tcW w:type="dxa" w:w="1800"/>
            <w:tcMar>
              <w:top w:w="100" w:type="dxa"/>
              <w:start w:w="120" w:type="dxa"/>
              <w:bottom w:w="100" w:type="dxa"/>
              <w:end w:w="120" w:type="dxa"/>
            </w:tcMar>
            <w:vAlign w:val="center"/>
          </w:tcPr>
          <w:p>
            <w:pPr>
              <w:spacing w:after="0"/>
              <w:jc w:val="center"/>
            </w:pPr>
            <w:r>
              <w:t>91–180 hours</w:t>
            </w:r>
            <w:r>
              <w:rPr>
                <w:rFonts w:ascii="Aptos" w:hAnsi="Aptos" w:eastAsia="Aptos"/>
                <w:sz w:val="18"/>
              </w:rPr>
            </w:r>
          </w:p>
        </w:tc>
        <w:tc>
          <w:tcPr>
            <w:tcW w:type="dxa" w:w="4320"/>
            <w:tcMar>
              <w:top w:w="100" w:type="dxa"/>
              <w:start w:w="120" w:type="dxa"/>
              <w:bottom w:w="100" w:type="dxa"/>
              <w:end w:w="120" w:type="dxa"/>
            </w:tcMar>
            <w:vAlign w:val="center"/>
          </w:tcPr>
          <w:p>
            <w:pPr>
              <w:spacing w:after="0"/>
            </w:pPr>
            <w:r>
              <w:t>Preparation for a specific form of church ministry or applied activity; a Certificate of Competence may be awarded.</w:t>
            </w:r>
            <w:r>
              <w:rPr>
                <w:rFonts w:ascii="Aptos" w:hAnsi="Aptos" w:eastAsia="Aptos"/>
                <w:sz w:val="18"/>
              </w:rPr>
            </w:r>
          </w:p>
        </w:tc>
      </w:tr>
      <w:tr>
        <w:trPr>
          <w:cantSplit/>
          <w:cantSplit/>
        </w:trPr>
        <w:tc>
          <w:tcPr>
            <w:tcW w:type="dxa" w:w="936"/>
            <w:tcMar>
              <w:top w:w="100" w:type="dxa"/>
              <w:start w:w="120" w:type="dxa"/>
              <w:bottom w:w="100" w:type="dxa"/>
              <w:end w:w="120" w:type="dxa"/>
            </w:tcMar>
            <w:vAlign w:val="center"/>
          </w:tcPr>
          <w:p>
            <w:pPr>
              <w:spacing w:after="0"/>
            </w:pPr>
            <w:r/>
            <w:r>
              <w:rPr>
                <w:rFonts w:ascii="Aptos" w:hAnsi="Aptos" w:eastAsia="Aptos"/>
                <w:sz w:val="18"/>
              </w:rPr>
              <w:t>SC-5</w:t>
            </w:r>
          </w:p>
        </w:tc>
        <w:tc>
          <w:tcPr>
            <w:tcW w:type="dxa" w:w="2304"/>
            <w:tcMar>
              <w:top w:w="100" w:type="dxa"/>
              <w:start w:w="120" w:type="dxa"/>
              <w:bottom w:w="100" w:type="dxa"/>
              <w:end w:w="120" w:type="dxa"/>
            </w:tcMar>
            <w:vAlign w:val="center"/>
          </w:tcPr>
          <w:p>
            <w:pPr>
              <w:spacing w:after="0"/>
              <w:jc w:val="center"/>
            </w:pPr>
            <w:r>
              <w:t>Extended Specialisation</w:t>
            </w:r>
            <w:r>
              <w:rPr>
                <w:rFonts w:ascii="Aptos" w:hAnsi="Aptos" w:eastAsia="Aptos"/>
                <w:sz w:val="18"/>
              </w:rPr>
            </w:r>
          </w:p>
        </w:tc>
        <w:tc>
          <w:tcPr>
            <w:tcW w:type="dxa" w:w="1800"/>
            <w:tcMar>
              <w:top w:w="100" w:type="dxa"/>
              <w:start w:w="120" w:type="dxa"/>
              <w:bottom w:w="100" w:type="dxa"/>
              <w:end w:w="120" w:type="dxa"/>
            </w:tcMar>
            <w:vAlign w:val="center"/>
          </w:tcPr>
          <w:p>
            <w:pPr>
              <w:spacing w:after="0"/>
              <w:jc w:val="center"/>
            </w:pPr>
            <w:r>
              <w:t>181–360 hours</w:t>
            </w:r>
            <w:r>
              <w:rPr>
                <w:rFonts w:ascii="Aptos" w:hAnsi="Aptos" w:eastAsia="Aptos"/>
                <w:sz w:val="18"/>
              </w:rPr>
            </w:r>
          </w:p>
        </w:tc>
        <w:tc>
          <w:tcPr>
            <w:tcW w:type="dxa" w:w="4320"/>
            <w:tcMar>
              <w:top w:w="100" w:type="dxa"/>
              <w:start w:w="120" w:type="dxa"/>
              <w:bottom w:w="100" w:type="dxa"/>
              <w:end w:w="120" w:type="dxa"/>
            </w:tcMar>
            <w:vAlign w:val="center"/>
          </w:tcPr>
          <w:p>
            <w:pPr>
              <w:spacing w:after="0"/>
            </w:pPr>
            <w:r>
              <w:t>Comprehensive non-degree programme; a final project, practicum, or qualifying examination is mandatory.</w:t>
            </w:r>
            <w:r>
              <w:rPr>
                <w:rFonts w:ascii="Aptos" w:hAnsi="Aptos" w:eastAsia="Aptos"/>
                <w:sz w:val="18"/>
              </w:rPr>
            </w:r>
          </w:p>
        </w:tc>
      </w:tr>
    </w:tbl>
    <w:p>
      <w:pPr>
        <w:widowControl/>
        <w:spacing w:after="20"/>
      </w:pPr>
    </w:p>
    <w:tbl>
      <w:tblPr>
        <w:tblW w:type="auto" w:w="0"/>
        <w:jc w:val="center"/>
        <w:tblLayout w:type="fixed"/>
        <w:tblLook w:firstColumn="1" w:firstRow="1" w:lastColumn="0" w:lastRow="0" w:noHBand="0" w:noVBand="1" w:val="04A0"/>
      </w:tblPr>
      <w:tblGrid>
        <w:gridCol w:w="9792"/>
      </w:tblGrid>
      <w:tr>
        <w:trPr>
          <w:cantSplit/>
        </w:trPr>
        <w:tc>
          <w:tcPr>
            <w:tcW w:type="dxa" w:w="9504"/>
            <w:shd w:fill="EEF3F8"/>
            <w:tcMar>
              <w:top w:w="160" w:type="dxa"/>
              <w:start w:w="180" w:type="dxa"/>
              <w:bottom w:w="160" w:type="dxa"/>
              <w:end w:w="180" w:type="dxa"/>
            </w:tcMar>
          </w:tcPr>
          <w:p>
            <w:pPr>
              <w:spacing w:after="0"/>
            </w:pPr>
            <w:r>
              <w:rPr>
                <w:rFonts w:ascii="Aptos" w:hAnsi="Aptos" w:eastAsia="Aptos"/>
                <w:b/>
                <w:color w:val="243A5E"/>
                <w:sz w:val="20"/>
              </w:rPr>
              <w:t>Academic hour: 45 minutes is recommended for the calculation of organised instruction. Independent study shall be stated separately in the programme description where it materially contributes to the learning outcomes.</w:t>
            </w:r>
            <w:r>
              <w:rPr>
                <w:rFonts w:ascii="Aptos" w:hAnsi="Aptos" w:eastAsia="Aptos"/>
                <w:sz w:val="20"/>
              </w:rPr>
            </w:r>
          </w:p>
        </w:tc>
      </w:tr>
    </w:tbl>
    <w:p>
      <w:pPr>
        <w:widowControl/>
        <w:spacing w:after="20"/>
      </w:pPr>
    </w:p>
    <w:p>
      <w:pPr>
        <w:pStyle w:val="Heading2"/>
        <w:widowControl/>
      </w:pPr>
      <w:r>
        <w:t>14. Required Specification for Each Course</w:t>
      </w:r>
    </w:p>
    <w:p>
      <w:pPr>
        <w:pStyle w:val="ListNumber"/>
        <w:widowControl/>
        <w:spacing w:after="40"/>
      </w:pPr>
      <w:r>
        <w:rPr>
          <w:rFonts w:ascii="Aptos" w:hAnsi="Aptos" w:eastAsia="Aptos"/>
          <w:sz w:val="21"/>
        </w:rPr>
        <w:t>Course title and internal programme code.</w:t>
      </w:r>
    </w:p>
    <w:p>
      <w:pPr>
        <w:pStyle w:val="ListNumber"/>
        <w:widowControl/>
        <w:spacing w:after="40"/>
      </w:pPr>
      <w:r>
        <w:rPr>
          <w:rFonts w:ascii="Aptos" w:hAnsi="Aptos" w:eastAsia="Aptos"/>
          <w:sz w:val="21"/>
        </w:rPr>
        <w:t>The organisation and ecclesiastical authority that approved the course.</w:t>
      </w:r>
    </w:p>
    <w:p>
      <w:pPr>
        <w:pStyle w:val="ListNumber"/>
        <w:widowControl/>
        <w:spacing w:after="40"/>
      </w:pPr>
      <w:r>
        <w:rPr>
          <w:rFonts w:ascii="Aptos" w:hAnsi="Aptos" w:eastAsia="Aptos"/>
          <w:sz w:val="21"/>
        </w:rPr>
        <w:t>Purpose and target audience.</w:t>
      </w:r>
    </w:p>
    <w:p>
      <w:pPr>
        <w:pStyle w:val="ListNumber"/>
        <w:widowControl/>
        <w:spacing w:after="40"/>
      </w:pPr>
      <w:r>
        <w:rPr>
          <w:rFonts w:ascii="Aptos" w:hAnsi="Aptos" w:eastAsia="Aptos"/>
          <w:sz w:val="21"/>
        </w:rPr>
        <w:t>Admission requirements and required prior knowledge.</w:t>
      </w:r>
    </w:p>
    <w:p>
      <w:pPr>
        <w:pStyle w:val="ListNumber"/>
        <w:widowControl/>
        <w:spacing w:after="40"/>
      </w:pPr>
      <w:r>
        <w:rPr>
          <w:rFonts w:ascii="Aptos" w:hAnsi="Aptos" w:eastAsia="Aptos"/>
          <w:sz w:val="21"/>
        </w:rPr>
        <w:t>Duration: contact hours, independent study, and practical work.</w:t>
      </w:r>
    </w:p>
    <w:p>
      <w:pPr>
        <w:pStyle w:val="ListNumber"/>
        <w:widowControl/>
        <w:spacing w:after="40"/>
      </w:pPr>
      <w:r>
        <w:rPr>
          <w:rFonts w:ascii="Aptos" w:hAnsi="Aptos" w:eastAsia="Aptos"/>
          <w:sz w:val="21"/>
        </w:rPr>
        <w:t>Between 3 and 10 measurable learning outcomes.</w:t>
      </w:r>
    </w:p>
    <w:p>
      <w:pPr>
        <w:pStyle w:val="ListNumber"/>
        <w:widowControl/>
        <w:spacing w:after="40"/>
      </w:pPr>
      <w:r>
        <w:rPr>
          <w:rFonts w:ascii="Aptos" w:hAnsi="Aptos" w:eastAsia="Aptos"/>
          <w:sz w:val="21"/>
        </w:rPr>
        <w:t>Content organised by modules or topics.</w:t>
      </w:r>
    </w:p>
    <w:p>
      <w:pPr>
        <w:pStyle w:val="ListNumber"/>
        <w:widowControl/>
        <w:spacing w:after="40"/>
      </w:pPr>
      <w:r>
        <w:rPr>
          <w:rFonts w:ascii="Aptos" w:hAnsi="Aptos" w:eastAsia="Aptos"/>
          <w:sz w:val="21"/>
        </w:rPr>
        <w:t>Modes of learning: lecture, seminar, practice, supervision, online learning, etc.</w:t>
      </w:r>
    </w:p>
    <w:p>
      <w:pPr>
        <w:pStyle w:val="ListNumber"/>
        <w:widowControl/>
        <w:spacing w:after="40"/>
      </w:pPr>
      <w:r>
        <w:rPr>
          <w:rFonts w:ascii="Aptos" w:hAnsi="Aptos" w:eastAsia="Aptos"/>
          <w:sz w:val="21"/>
        </w:rPr>
        <w:t>Forms of assessment and criteria for successful completion.</w:t>
      </w:r>
    </w:p>
    <w:p>
      <w:pPr>
        <w:pStyle w:val="ListNumber"/>
        <w:widowControl/>
        <w:spacing w:after="40"/>
      </w:pPr>
      <w:r>
        <w:rPr>
          <w:rFonts w:ascii="Aptos" w:hAnsi="Aptos" w:eastAsia="Aptos"/>
          <w:sz w:val="21"/>
        </w:rPr>
        <w:t>Requirements for instructors.</w:t>
      </w:r>
    </w:p>
    <w:p>
      <w:pPr>
        <w:pStyle w:val="ListNumber"/>
        <w:widowControl/>
        <w:spacing w:after="40"/>
      </w:pPr>
      <w:r>
        <w:rPr>
          <w:rFonts w:ascii="Aptos" w:hAnsi="Aptos" w:eastAsia="Aptos"/>
          <w:sz w:val="21"/>
        </w:rPr>
        <w:t>Type of certificate issued and the exact wording of its status.</w:t>
      </w:r>
    </w:p>
    <w:p>
      <w:pPr>
        <w:pStyle w:val="ListNumber"/>
        <w:widowControl/>
        <w:spacing w:after="40"/>
      </w:pPr>
      <w:r>
        <w:rPr>
          <w:rFonts w:ascii="Aptos" w:hAnsi="Aptos" w:eastAsia="Aptos"/>
          <w:sz w:val="21"/>
        </w:rPr>
        <w:t>Programme review cycle and the responsible person or committee.</w:t>
      </w:r>
    </w:p>
    <w:p>
      <w:pPr>
        <w:pStyle w:val="Heading2"/>
        <w:widowControl/>
      </w:pPr>
      <w:r>
        <w:t>15. Examples of Fields</w:t>
      </w:r>
    </w:p>
    <w:tbl>
      <w:tblPr>
        <w:tblW w:type="auto" w:w="0"/>
        <w:jc w:val="center"/>
        <w:tblLayout w:type="fixed"/>
        <w:tblLook w:firstColumn="1" w:firstRow="1" w:lastColumn="0" w:lastRow="0" w:noHBand="0" w:noVBand="1" w:val="04A0"/>
      </w:tblPr>
      <w:tblGrid>
        <w:gridCol w:w="4896"/>
        <w:gridCol w:w="4896"/>
      </w:tblGrid>
      <w:tr>
        <w:trPr>
          <w:tblHeader w:val="true"/>
          <w:cantSplit/>
          <w:cantSplit/>
        </w:trPr>
        <w:tc>
          <w:tcPr>
            <w:tcW w:type="dxa" w:w="2232"/>
            <w:shd w:fill="243A5E"/>
            <w:tcMar>
              <w:top w:w="120" w:type="dxa"/>
              <w:start w:w="120" w:type="dxa"/>
              <w:bottom w:w="120" w:type="dxa"/>
              <w:end w:w="120" w:type="dxa"/>
            </w:tcMar>
            <w:vAlign w:val="center"/>
          </w:tcPr>
          <w:p>
            <w:pPr>
              <w:jc w:val="center"/>
            </w:pPr>
            <w:r>
              <w:t>Field</w:t>
            </w:r>
            <w:r>
              <w:rPr>
                <w:rFonts w:ascii="Aptos" w:hAnsi="Aptos" w:eastAsia="Aptos"/>
                <w:b/>
                <w:color w:val="FFFFFF"/>
                <w:sz w:val="19"/>
              </w:rPr>
            </w:r>
          </w:p>
        </w:tc>
        <w:tc>
          <w:tcPr>
            <w:tcW w:type="dxa" w:w="7128"/>
            <w:shd w:fill="243A5E"/>
            <w:tcMar>
              <w:top w:w="120" w:type="dxa"/>
              <w:start w:w="120" w:type="dxa"/>
              <w:bottom w:w="120" w:type="dxa"/>
              <w:end w:w="120" w:type="dxa"/>
            </w:tcMar>
            <w:vAlign w:val="center"/>
          </w:tcPr>
          <w:p>
            <w:pPr>
              <w:jc w:val="center"/>
            </w:pPr>
            <w:r>
              <w:t>Examples</w:t>
            </w:r>
            <w:r>
              <w:rPr>
                <w:rFonts w:ascii="Aptos" w:hAnsi="Aptos" w:eastAsia="Aptos"/>
                <w:b/>
                <w:color w:val="FFFFFF"/>
                <w:sz w:val="19"/>
              </w:rPr>
            </w:r>
          </w:p>
        </w:tc>
      </w:tr>
      <w:tr>
        <w:trPr>
          <w:cantSplit/>
          <w:cantSplit/>
        </w:trPr>
        <w:tc>
          <w:tcPr>
            <w:tcW w:type="dxa" w:w="2232"/>
            <w:tcMar>
              <w:top w:w="100" w:type="dxa"/>
              <w:start w:w="120" w:type="dxa"/>
              <w:bottom w:w="100" w:type="dxa"/>
              <w:end w:w="120" w:type="dxa"/>
            </w:tcMar>
            <w:vAlign w:val="center"/>
          </w:tcPr>
          <w:p>
            <w:pPr>
              <w:spacing w:after="0"/>
            </w:pPr>
            <w:r>
              <w:t>Catechesis</w:t>
            </w:r>
            <w:r>
              <w:rPr>
                <w:rFonts w:ascii="Aptos" w:hAnsi="Aptos" w:eastAsia="Aptos"/>
                <w:sz w:val="18"/>
              </w:rPr>
            </w:r>
          </w:p>
        </w:tc>
        <w:tc>
          <w:tcPr>
            <w:tcW w:type="dxa" w:w="7128"/>
            <w:tcMar>
              <w:top w:w="100" w:type="dxa"/>
              <w:start w:w="120" w:type="dxa"/>
              <w:bottom w:w="100" w:type="dxa"/>
              <w:end w:w="120" w:type="dxa"/>
            </w:tcMar>
            <w:vAlign w:val="center"/>
          </w:tcPr>
          <w:p>
            <w:pPr>
              <w:spacing w:after="0"/>
            </w:pPr>
            <w:r>
              <w:t>Foundations of faith; formation of catechists; work with adults and adolescents.</w:t>
            </w:r>
            <w:r>
              <w:rPr>
                <w:rFonts w:ascii="Aptos" w:hAnsi="Aptos" w:eastAsia="Aptos"/>
                <w:sz w:val="18"/>
              </w:rPr>
            </w:r>
          </w:p>
        </w:tc>
      </w:tr>
      <w:tr>
        <w:trPr>
          <w:cantSplit/>
          <w:cantSplit/>
        </w:trPr>
        <w:tc>
          <w:tcPr>
            <w:tcW w:type="dxa" w:w="2232"/>
            <w:tcMar>
              <w:top w:w="100" w:type="dxa"/>
              <w:start w:w="120" w:type="dxa"/>
              <w:bottom w:w="100" w:type="dxa"/>
              <w:end w:w="120" w:type="dxa"/>
            </w:tcMar>
            <w:vAlign w:val="center"/>
          </w:tcPr>
          <w:p>
            <w:pPr>
              <w:spacing w:after="0"/>
            </w:pPr>
            <w:r>
              <w:t>Liturgical Practice</w:t>
            </w:r>
            <w:r>
              <w:rPr>
                <w:rFonts w:ascii="Aptos" w:hAnsi="Aptos" w:eastAsia="Aptos"/>
                <w:sz w:val="18"/>
              </w:rPr>
            </w:r>
          </w:p>
        </w:tc>
        <w:tc>
          <w:tcPr>
            <w:tcW w:type="dxa" w:w="7128"/>
            <w:tcMar>
              <w:top w:w="100" w:type="dxa"/>
              <w:start w:w="120" w:type="dxa"/>
              <w:bottom w:w="100" w:type="dxa"/>
              <w:end w:w="120" w:type="dxa"/>
            </w:tcMar>
            <w:vAlign w:val="center"/>
          </w:tcPr>
          <w:p>
            <w:pPr>
              <w:spacing w:after="0"/>
            </w:pPr>
            <w:r>
              <w:t>Altar service; liturgical reading; typikon; church singing; choir direction; formation of singers.</w:t>
            </w:r>
            <w:r>
              <w:rPr>
                <w:rFonts w:ascii="Aptos" w:hAnsi="Aptos" w:eastAsia="Aptos"/>
                <w:sz w:val="18"/>
              </w:rPr>
            </w:r>
          </w:p>
        </w:tc>
      </w:tr>
      <w:tr>
        <w:trPr>
          <w:cantSplit/>
          <w:cantSplit/>
        </w:trPr>
        <w:tc>
          <w:tcPr>
            <w:tcW w:type="dxa" w:w="2232"/>
            <w:tcMar>
              <w:top w:w="100" w:type="dxa"/>
              <w:start w:w="120" w:type="dxa"/>
              <w:bottom w:w="100" w:type="dxa"/>
              <w:end w:w="120" w:type="dxa"/>
            </w:tcMar>
            <w:vAlign w:val="center"/>
          </w:tcPr>
          <w:p>
            <w:pPr>
              <w:spacing w:after="0"/>
            </w:pPr>
            <w:r>
              <w:t>Pastoral Ministry</w:t>
            </w:r>
            <w:r>
              <w:rPr>
                <w:rFonts w:ascii="Aptos" w:hAnsi="Aptos" w:eastAsia="Aptos"/>
                <w:sz w:val="18"/>
              </w:rPr>
            </w:r>
          </w:p>
        </w:tc>
        <w:tc>
          <w:tcPr>
            <w:tcW w:type="dxa" w:w="7128"/>
            <w:tcMar>
              <w:top w:w="100" w:type="dxa"/>
              <w:start w:w="120" w:type="dxa"/>
              <w:bottom w:w="100" w:type="dxa"/>
              <w:end w:w="120" w:type="dxa"/>
            </w:tcMar>
            <w:vAlign w:val="center"/>
          </w:tcPr>
          <w:p>
            <w:pPr>
              <w:spacing w:after="0"/>
            </w:pPr>
            <w:r>
              <w:t>Foundations of pastoral care; visiting the sick; family support; ethics of pastoral communication.</w:t>
            </w:r>
            <w:r>
              <w:rPr>
                <w:rFonts w:ascii="Aptos" w:hAnsi="Aptos" w:eastAsia="Aptos"/>
                <w:sz w:val="18"/>
              </w:rPr>
            </w:r>
          </w:p>
        </w:tc>
      </w:tr>
      <w:tr>
        <w:trPr>
          <w:cantSplit/>
          <w:cantSplit/>
        </w:trPr>
        <w:tc>
          <w:tcPr>
            <w:tcW w:type="dxa" w:w="2232"/>
            <w:tcMar>
              <w:top w:w="100" w:type="dxa"/>
              <w:start w:w="120" w:type="dxa"/>
              <w:bottom w:w="100" w:type="dxa"/>
              <w:end w:w="120" w:type="dxa"/>
            </w:tcMar>
            <w:vAlign w:val="center"/>
          </w:tcPr>
          <w:p>
            <w:pPr>
              <w:spacing w:after="0"/>
            </w:pPr>
            <w:r>
              <w:t>Social Ministry</w:t>
            </w:r>
            <w:r>
              <w:rPr>
                <w:rFonts w:ascii="Aptos" w:hAnsi="Aptos" w:eastAsia="Aptos"/>
                <w:sz w:val="18"/>
              </w:rPr>
            </w:r>
          </w:p>
        </w:tc>
        <w:tc>
          <w:tcPr>
            <w:tcW w:type="dxa" w:w="7128"/>
            <w:tcMar>
              <w:top w:w="100" w:type="dxa"/>
              <w:start w:w="120" w:type="dxa"/>
              <w:bottom w:w="100" w:type="dxa"/>
              <w:end w:w="120" w:type="dxa"/>
            </w:tcMar>
            <w:vAlign w:val="center"/>
          </w:tcPr>
          <w:p>
            <w:pPr>
              <w:spacing w:after="0"/>
            </w:pPr>
            <w:r>
              <w:t>Organisation of charitable work; work with vulnerable groups; volunteer coordination.</w:t>
            </w:r>
            <w:r>
              <w:rPr>
                <w:rFonts w:ascii="Aptos" w:hAnsi="Aptos" w:eastAsia="Aptos"/>
                <w:sz w:val="18"/>
              </w:rPr>
            </w:r>
          </w:p>
        </w:tc>
      </w:tr>
      <w:tr>
        <w:trPr>
          <w:cantSplit/>
          <w:cantSplit/>
        </w:trPr>
        <w:tc>
          <w:tcPr>
            <w:tcW w:type="dxa" w:w="2232"/>
            <w:tcMar>
              <w:top w:w="100" w:type="dxa"/>
              <w:start w:w="120" w:type="dxa"/>
              <w:bottom w:w="100" w:type="dxa"/>
              <w:end w:w="120" w:type="dxa"/>
            </w:tcMar>
            <w:vAlign w:val="center"/>
          </w:tcPr>
          <w:p>
            <w:pPr>
              <w:spacing w:after="0"/>
            </w:pPr>
            <w:r>
              <w:t>Administration</w:t>
            </w:r>
            <w:r>
              <w:rPr>
                <w:rFonts w:ascii="Aptos" w:hAnsi="Aptos" w:eastAsia="Aptos"/>
                <w:sz w:val="18"/>
              </w:rPr>
            </w:r>
          </w:p>
        </w:tc>
        <w:tc>
          <w:tcPr>
            <w:tcW w:type="dxa" w:w="7128"/>
            <w:tcMar>
              <w:top w:w="100" w:type="dxa"/>
              <w:start w:w="120" w:type="dxa"/>
              <w:bottom w:w="100" w:type="dxa"/>
              <w:end w:w="120" w:type="dxa"/>
            </w:tcMar>
            <w:vAlign w:val="center"/>
          </w:tcPr>
          <w:p>
            <w:pPr>
              <w:spacing w:after="0"/>
            </w:pPr>
            <w:r>
              <w:t>Parish administration; nonprofit finance; records management; data protection; project management.</w:t>
            </w:r>
            <w:r>
              <w:rPr>
                <w:rFonts w:ascii="Aptos" w:hAnsi="Aptos" w:eastAsia="Aptos"/>
                <w:sz w:val="18"/>
              </w:rPr>
            </w:r>
          </w:p>
        </w:tc>
      </w:tr>
      <w:tr>
        <w:trPr>
          <w:cantSplit/>
          <w:cantSplit/>
        </w:trPr>
        <w:tc>
          <w:tcPr>
            <w:tcW w:type="dxa" w:w="2232"/>
            <w:tcMar>
              <w:top w:w="100" w:type="dxa"/>
              <w:start w:w="120" w:type="dxa"/>
              <w:bottom w:w="100" w:type="dxa"/>
              <w:end w:w="120" w:type="dxa"/>
            </w:tcMar>
            <w:vAlign w:val="center"/>
          </w:tcPr>
          <w:p>
            <w:pPr>
              <w:spacing w:after="0"/>
            </w:pPr>
            <w:r>
              <w:t>Mission and Media</w:t>
            </w:r>
            <w:r>
              <w:rPr>
                <w:rFonts w:ascii="Aptos" w:hAnsi="Aptos" w:eastAsia="Aptos"/>
                <w:sz w:val="18"/>
              </w:rPr>
            </w:r>
          </w:p>
        </w:tc>
        <w:tc>
          <w:tcPr>
            <w:tcW w:type="dxa" w:w="7128"/>
            <w:tcMar>
              <w:top w:w="100" w:type="dxa"/>
              <w:start w:w="120" w:type="dxa"/>
              <w:bottom w:w="100" w:type="dxa"/>
              <w:end w:w="120" w:type="dxa"/>
            </w:tcMar>
            <w:vAlign w:val="center"/>
          </w:tcPr>
          <w:p>
            <w:pPr>
              <w:spacing w:after="0"/>
            </w:pPr>
            <w:r>
              <w:t>Missiology; church journalism; social media; public communication.</w:t>
            </w:r>
            <w:r>
              <w:rPr>
                <w:rFonts w:ascii="Aptos" w:hAnsi="Aptos" w:eastAsia="Aptos"/>
                <w:sz w:val="18"/>
              </w:rPr>
            </w:r>
          </w:p>
        </w:tc>
      </w:tr>
      <w:tr>
        <w:trPr>
          <w:cantSplit/>
          <w:cantSplit/>
        </w:trPr>
        <w:tc>
          <w:tcPr>
            <w:tcW w:type="dxa" w:w="2232"/>
            <w:tcMar>
              <w:top w:w="100" w:type="dxa"/>
              <w:start w:w="120" w:type="dxa"/>
              <w:bottom w:w="100" w:type="dxa"/>
              <w:end w:w="120" w:type="dxa"/>
            </w:tcMar>
            <w:vAlign w:val="center"/>
          </w:tcPr>
          <w:p>
            <w:pPr>
              <w:spacing w:after="0"/>
            </w:pPr>
            <w:r>
              <w:t>Arts and Heritage</w:t>
            </w:r>
            <w:r>
              <w:rPr>
                <w:rFonts w:ascii="Aptos" w:hAnsi="Aptos" w:eastAsia="Aptos"/>
                <w:sz w:val="18"/>
              </w:rPr>
            </w:r>
          </w:p>
        </w:tc>
        <w:tc>
          <w:tcPr>
            <w:tcW w:type="dxa" w:w="7128"/>
            <w:tcMar>
              <w:top w:w="100" w:type="dxa"/>
              <w:start w:w="120" w:type="dxa"/>
              <w:bottom w:w="100" w:type="dxa"/>
              <w:end w:w="120" w:type="dxa"/>
            </w:tcMar>
            <w:vAlign w:val="center"/>
          </w:tcPr>
          <w:p>
            <w:pPr>
              <w:spacing w:after="0"/>
            </w:pPr>
            <w:r>
              <w:t>Iconography; church architecture; conservation culture; history of Christian art.</w:t>
            </w:r>
            <w:r>
              <w:rPr>
                <w:rFonts w:ascii="Aptos" w:hAnsi="Aptos" w:eastAsia="Aptos"/>
                <w:sz w:val="18"/>
              </w:rPr>
            </w:r>
          </w:p>
        </w:tc>
      </w:tr>
    </w:tbl>
    <w:p>
      <w:pPr>
        <w:widowControl/>
        <w:spacing w:after="20"/>
      </w:pPr>
    </w:p>
    <w:p>
      <w:pPr>
        <w:pStyle w:val="Heading2"/>
        <w:widowControl/>
      </w:pPr>
      <w:r>
        <w:t>16. Learning Outcomes</w:t>
      </w:r>
    </w:p>
    <w:p>
      <w:pPr>
        <w:widowControl/>
      </w:pPr>
      <w:r>
        <w:t>Learning outcomes shall be expressed through observable actions. Formulations such as “become familiar with”, “attend”, or “gain an overview of” are insufficient on their own.</w:t>
      </w:r>
    </w:p>
    <w:tbl>
      <w:tblPr>
        <w:tblW w:type="auto" w:w="0"/>
        <w:jc w:val="center"/>
        <w:tblLayout w:type="fixed"/>
        <w:tblLook w:firstColumn="1" w:firstRow="1" w:lastColumn="0" w:lastRow="0" w:noHBand="0" w:noVBand="1" w:val="04A0"/>
      </w:tblPr>
      <w:tblGrid>
        <w:gridCol w:w="4896"/>
        <w:gridCol w:w="4896"/>
      </w:tblGrid>
      <w:tr>
        <w:trPr>
          <w:tblHeader w:val="true"/>
          <w:cantSplit/>
          <w:cantSplit/>
        </w:trPr>
        <w:tc>
          <w:tcPr>
            <w:tcW w:type="dxa" w:w="3384"/>
            <w:shd w:fill="243A5E"/>
            <w:tcMar>
              <w:top w:w="120" w:type="dxa"/>
              <w:start w:w="120" w:type="dxa"/>
              <w:bottom w:w="120" w:type="dxa"/>
              <w:end w:w="120" w:type="dxa"/>
            </w:tcMar>
            <w:vAlign w:val="center"/>
          </w:tcPr>
          <w:p>
            <w:pPr>
              <w:jc w:val="center"/>
            </w:pPr>
            <w:r>
              <w:t>Weak Formulation</w:t>
            </w:r>
            <w:r>
              <w:rPr>
                <w:rFonts w:ascii="Aptos" w:hAnsi="Aptos" w:eastAsia="Aptos"/>
                <w:b/>
                <w:color w:val="FFFFFF"/>
                <w:sz w:val="19"/>
              </w:rPr>
            </w:r>
          </w:p>
        </w:tc>
        <w:tc>
          <w:tcPr>
            <w:tcW w:type="dxa" w:w="5976"/>
            <w:shd w:fill="243A5E"/>
            <w:tcMar>
              <w:top w:w="120" w:type="dxa"/>
              <w:start w:w="120" w:type="dxa"/>
              <w:bottom w:w="120" w:type="dxa"/>
              <w:end w:w="120" w:type="dxa"/>
            </w:tcMar>
            <w:vAlign w:val="center"/>
          </w:tcPr>
          <w:p>
            <w:pPr>
              <w:jc w:val="center"/>
            </w:pPr>
            <w:r>
              <w:t>Preferred Formulation</w:t>
            </w:r>
            <w:r>
              <w:rPr>
                <w:rFonts w:ascii="Aptos" w:hAnsi="Aptos" w:eastAsia="Aptos"/>
                <w:b/>
                <w:color w:val="FFFFFF"/>
                <w:sz w:val="19"/>
              </w:rPr>
            </w:r>
          </w:p>
        </w:tc>
      </w:tr>
      <w:tr>
        <w:trPr>
          <w:cantSplit/>
          <w:cantSplit/>
        </w:trPr>
        <w:tc>
          <w:tcPr>
            <w:tcW w:type="dxa" w:w="3384"/>
            <w:tcMar>
              <w:top w:w="100" w:type="dxa"/>
              <w:start w:w="120" w:type="dxa"/>
              <w:bottom w:w="100" w:type="dxa"/>
              <w:end w:w="120" w:type="dxa"/>
            </w:tcMar>
            <w:vAlign w:val="center"/>
          </w:tcPr>
          <w:p>
            <w:pPr>
              <w:spacing w:after="0"/>
            </w:pPr>
            <w:r>
              <w:t>Know the basics of canon law</w:t>
            </w:r>
            <w:r>
              <w:rPr>
                <w:rFonts w:ascii="Aptos" w:hAnsi="Aptos" w:eastAsia="Aptos"/>
                <w:sz w:val="18"/>
              </w:rPr>
            </w:r>
          </w:p>
        </w:tc>
        <w:tc>
          <w:tcPr>
            <w:tcW w:type="dxa" w:w="5976"/>
            <w:tcMar>
              <w:top w:w="100" w:type="dxa"/>
              <w:start w:w="120" w:type="dxa"/>
              <w:bottom w:w="100" w:type="dxa"/>
              <w:end w:w="120" w:type="dxa"/>
            </w:tcMar>
            <w:vAlign w:val="center"/>
          </w:tcPr>
          <w:p>
            <w:pPr>
              <w:spacing w:after="0"/>
            </w:pPr>
            <w:r>
              <w:t>Explain the principal sources of canon law and apply basic norms to typical parish situations.</w:t>
            </w:r>
            <w:r>
              <w:rPr>
                <w:rFonts w:ascii="Aptos" w:hAnsi="Aptos" w:eastAsia="Aptos"/>
                <w:sz w:val="18"/>
              </w:rPr>
            </w:r>
          </w:p>
        </w:tc>
      </w:tr>
      <w:tr>
        <w:trPr>
          <w:cantSplit/>
          <w:cantSplit/>
        </w:trPr>
        <w:tc>
          <w:tcPr>
            <w:tcW w:type="dxa" w:w="3384"/>
            <w:tcMar>
              <w:top w:w="100" w:type="dxa"/>
              <w:start w:w="120" w:type="dxa"/>
              <w:bottom w:w="100" w:type="dxa"/>
              <w:end w:w="120" w:type="dxa"/>
            </w:tcMar>
            <w:vAlign w:val="center"/>
          </w:tcPr>
          <w:p>
            <w:pPr>
              <w:spacing w:after="0"/>
            </w:pPr>
            <w:r>
              <w:t>Understand the liturgy</w:t>
            </w:r>
            <w:r>
              <w:rPr>
                <w:rFonts w:ascii="Aptos" w:hAnsi="Aptos" w:eastAsia="Aptos"/>
                <w:sz w:val="18"/>
              </w:rPr>
            </w:r>
          </w:p>
        </w:tc>
        <w:tc>
          <w:tcPr>
            <w:tcW w:type="dxa" w:w="5976"/>
            <w:tcMar>
              <w:top w:w="100" w:type="dxa"/>
              <w:start w:w="120" w:type="dxa"/>
              <w:bottom w:w="100" w:type="dxa"/>
              <w:end w:w="120" w:type="dxa"/>
            </w:tcMar>
            <w:vAlign w:val="center"/>
          </w:tcPr>
          <w:p>
            <w:pPr>
              <w:spacing w:after="0"/>
            </w:pPr>
            <w:r>
              <w:t>Describe the structure of the liturgy, the purpose of its principal parts, and the actions of ministers.</w:t>
            </w:r>
            <w:r>
              <w:rPr>
                <w:rFonts w:ascii="Aptos" w:hAnsi="Aptos" w:eastAsia="Aptos"/>
                <w:sz w:val="18"/>
              </w:rPr>
            </w:r>
          </w:p>
        </w:tc>
      </w:tr>
      <w:tr>
        <w:trPr>
          <w:cantSplit/>
          <w:cantSplit/>
        </w:trPr>
        <w:tc>
          <w:tcPr>
            <w:tcW w:type="dxa" w:w="3384"/>
            <w:tcMar>
              <w:top w:w="100" w:type="dxa"/>
              <w:start w:w="120" w:type="dxa"/>
              <w:bottom w:w="100" w:type="dxa"/>
              <w:end w:w="120" w:type="dxa"/>
            </w:tcMar>
            <w:vAlign w:val="center"/>
          </w:tcPr>
          <w:p>
            <w:pPr>
              <w:spacing w:after="0"/>
            </w:pPr>
            <w:r>
              <w:t>Learn to manage social media</w:t>
            </w:r>
            <w:r>
              <w:rPr>
                <w:rFonts w:ascii="Aptos" w:hAnsi="Aptos" w:eastAsia="Aptos"/>
                <w:sz w:val="18"/>
              </w:rPr>
            </w:r>
          </w:p>
        </w:tc>
        <w:tc>
          <w:tcPr>
            <w:tcW w:type="dxa" w:w="5976"/>
            <w:tcMar>
              <w:top w:w="100" w:type="dxa"/>
              <w:start w:w="120" w:type="dxa"/>
              <w:bottom w:w="100" w:type="dxa"/>
              <w:end w:w="120" w:type="dxa"/>
            </w:tcMar>
            <w:vAlign w:val="center"/>
          </w:tcPr>
          <w:p>
            <w:pPr>
              <w:spacing w:after="0"/>
            </w:pPr>
            <w:r>
              <w:t>Develop a safe and ethically appropriate content plan for a church social-media page and assess publication risks.</w:t>
            </w:r>
            <w:r>
              <w:rPr>
                <w:rFonts w:ascii="Aptos" w:hAnsi="Aptos" w:eastAsia="Aptos"/>
                <w:sz w:val="18"/>
              </w:rPr>
            </w:r>
          </w:p>
        </w:tc>
      </w:tr>
      <w:tr>
        <w:trPr>
          <w:cantSplit/>
          <w:cantSplit/>
        </w:trPr>
        <w:tc>
          <w:tcPr>
            <w:tcW w:type="dxa" w:w="3384"/>
            <w:tcMar>
              <w:top w:w="100" w:type="dxa"/>
              <w:start w:w="120" w:type="dxa"/>
              <w:bottom w:w="100" w:type="dxa"/>
              <w:end w:w="120" w:type="dxa"/>
            </w:tcMar>
            <w:vAlign w:val="center"/>
          </w:tcPr>
          <w:p>
            <w:pPr>
              <w:spacing w:after="0"/>
            </w:pPr>
            <w:r>
              <w:t>Study church singing</w:t>
            </w:r>
            <w:r>
              <w:rPr>
                <w:rFonts w:ascii="Aptos" w:hAnsi="Aptos" w:eastAsia="Aptos"/>
                <w:sz w:val="18"/>
              </w:rPr>
            </w:r>
          </w:p>
        </w:tc>
        <w:tc>
          <w:tcPr>
            <w:tcW w:type="dxa" w:w="5976"/>
            <w:tcMar>
              <w:top w:w="100" w:type="dxa"/>
              <w:start w:w="120" w:type="dxa"/>
              <w:bottom w:w="100" w:type="dxa"/>
              <w:end w:w="120" w:type="dxa"/>
            </w:tcMar>
            <w:vAlign w:val="center"/>
          </w:tcPr>
          <w:p>
            <w:pPr>
              <w:spacing w:after="0"/>
            </w:pPr>
            <w:r>
              <w:t>Perform the prescribed repertoire in the designated chant tradition in accordance with musical and liturgical requirements.</w:t>
            </w:r>
            <w:r>
              <w:rPr>
                <w:rFonts w:ascii="Aptos" w:hAnsi="Aptos" w:eastAsia="Aptos"/>
                <w:sz w:val="18"/>
              </w:rPr>
            </w:r>
          </w:p>
        </w:tc>
      </w:tr>
    </w:tbl>
    <w:p>
      <w:pPr>
        <w:widowControl/>
        <w:spacing w:after="20"/>
      </w:pPr>
    </w:p>
    <w:p>
      <w:pPr>
        <w:pStyle w:val="Heading2"/>
        <w:widowControl/>
      </w:pPr>
      <w:r>
        <w:t>17. Assessment and Certificates</w:t>
      </w:r>
    </w:p>
    <w:tbl>
      <w:tblPr>
        <w:tblW w:type="auto" w:w="0"/>
        <w:jc w:val="center"/>
        <w:tblLayout w:type="fixed"/>
        <w:tblLook w:firstColumn="1" w:firstRow="1" w:lastColumn="0" w:lastRow="0" w:noHBand="0" w:noVBand="1" w:val="04A0"/>
      </w:tblPr>
      <w:tblGrid>
        <w:gridCol w:w="4896"/>
        <w:gridCol w:w="4896"/>
      </w:tblGrid>
      <w:tr>
        <w:trPr>
          <w:tblHeader w:val="true"/>
          <w:cantSplit/>
          <w:cantSplit/>
        </w:trPr>
        <w:tc>
          <w:tcPr>
            <w:tcW w:type="dxa" w:w="2376"/>
            <w:shd w:fill="243A5E"/>
            <w:tcMar>
              <w:top w:w="120" w:type="dxa"/>
              <w:start w:w="120" w:type="dxa"/>
              <w:bottom w:w="120" w:type="dxa"/>
              <w:end w:w="120" w:type="dxa"/>
            </w:tcMar>
            <w:vAlign w:val="center"/>
          </w:tcPr>
          <w:p>
            <w:pPr>
              <w:jc w:val="center"/>
            </w:pPr>
            <w:r>
              <w:t>Certificate Type</w:t>
            </w:r>
            <w:r>
              <w:rPr>
                <w:rFonts w:ascii="Aptos" w:hAnsi="Aptos" w:eastAsia="Aptos"/>
                <w:b/>
                <w:color w:val="FFFFFF"/>
                <w:sz w:val="19"/>
              </w:rPr>
            </w:r>
          </w:p>
        </w:tc>
        <w:tc>
          <w:tcPr>
            <w:tcW w:type="dxa" w:w="6984"/>
            <w:shd w:fill="243A5E"/>
            <w:tcMar>
              <w:top w:w="120" w:type="dxa"/>
              <w:start w:w="120" w:type="dxa"/>
              <w:bottom w:w="120" w:type="dxa"/>
              <w:end w:w="120" w:type="dxa"/>
            </w:tcMar>
            <w:vAlign w:val="center"/>
          </w:tcPr>
          <w:p>
            <w:pPr>
              <w:jc w:val="center"/>
            </w:pPr>
            <w:r>
              <w:t>Minimum Basis</w:t>
            </w:r>
            <w:r>
              <w:rPr>
                <w:rFonts w:ascii="Aptos" w:hAnsi="Aptos" w:eastAsia="Aptos"/>
                <w:b/>
                <w:color w:val="FFFFFF"/>
                <w:sz w:val="19"/>
              </w:rPr>
            </w:r>
          </w:p>
        </w:tc>
      </w:tr>
      <w:tr>
        <w:trPr>
          <w:cantSplit/>
          <w:cantSplit/>
        </w:trPr>
        <w:tc>
          <w:tcPr>
            <w:tcW w:type="dxa" w:w="2376"/>
            <w:tcMar>
              <w:top w:w="100" w:type="dxa"/>
              <w:start w:w="120" w:type="dxa"/>
              <w:bottom w:w="100" w:type="dxa"/>
              <w:end w:w="120" w:type="dxa"/>
            </w:tcMar>
            <w:vAlign w:val="center"/>
          </w:tcPr>
          <w:p>
            <w:pPr>
              <w:spacing w:after="0"/>
            </w:pPr>
            <w:r/>
            <w:r>
              <w:rPr>
                <w:rFonts w:ascii="Aptos" w:hAnsi="Aptos" w:eastAsia="Aptos"/>
                <w:sz w:val="18"/>
              </w:rPr>
              <w:t>Participation</w:t>
            </w:r>
          </w:p>
        </w:tc>
        <w:tc>
          <w:tcPr>
            <w:tcW w:type="dxa" w:w="6984"/>
            <w:tcMar>
              <w:top w:w="100" w:type="dxa"/>
              <w:start w:w="120" w:type="dxa"/>
              <w:bottom w:w="100" w:type="dxa"/>
              <w:end w:w="120" w:type="dxa"/>
            </w:tcMar>
            <w:vAlign w:val="center"/>
          </w:tcPr>
          <w:p>
            <w:pPr>
              <w:spacing w:after="0"/>
            </w:pPr>
            <w:r>
              <w:t>Minimum attendance requirement, without a mandatory examination. The wording shall not imply competence.</w:t>
            </w:r>
            <w:r>
              <w:rPr>
                <w:rFonts w:ascii="Aptos" w:hAnsi="Aptos" w:eastAsia="Aptos"/>
                <w:sz w:val="18"/>
              </w:rPr>
            </w:r>
          </w:p>
        </w:tc>
      </w:tr>
      <w:tr>
        <w:trPr>
          <w:cantSplit/>
          <w:cantSplit/>
        </w:trPr>
        <w:tc>
          <w:tcPr>
            <w:tcW w:type="dxa" w:w="2376"/>
            <w:tcMar>
              <w:top w:w="100" w:type="dxa"/>
              <w:start w:w="120" w:type="dxa"/>
              <w:bottom w:w="100" w:type="dxa"/>
              <w:end w:w="120" w:type="dxa"/>
            </w:tcMar>
            <w:vAlign w:val="center"/>
          </w:tcPr>
          <w:p>
            <w:pPr>
              <w:spacing w:after="0"/>
            </w:pPr>
            <w:r/>
            <w:r>
              <w:rPr>
                <w:rFonts w:ascii="Aptos" w:hAnsi="Aptos" w:eastAsia="Aptos"/>
                <w:sz w:val="18"/>
              </w:rPr>
              <w:t>Completion</w:t>
            </w:r>
          </w:p>
        </w:tc>
        <w:tc>
          <w:tcPr>
            <w:tcW w:type="dxa" w:w="6984"/>
            <w:tcMar>
              <w:top w:w="100" w:type="dxa"/>
              <w:start w:w="120" w:type="dxa"/>
              <w:bottom w:w="100" w:type="dxa"/>
              <w:end w:w="120" w:type="dxa"/>
            </w:tcMar>
            <w:vAlign w:val="center"/>
          </w:tcPr>
          <w:p>
            <w:pPr>
              <w:spacing w:after="0"/>
            </w:pPr>
            <w:r>
              <w:t>At least the prescribed attendance threshold and successful completion of a final assignment, test, or project.</w:t>
            </w:r>
            <w:r>
              <w:rPr>
                <w:rFonts w:ascii="Aptos" w:hAnsi="Aptos" w:eastAsia="Aptos"/>
                <w:sz w:val="18"/>
              </w:rPr>
            </w:r>
          </w:p>
        </w:tc>
      </w:tr>
      <w:tr>
        <w:trPr>
          <w:cantSplit/>
          <w:cantSplit/>
        </w:trPr>
        <w:tc>
          <w:tcPr>
            <w:tcW w:type="dxa" w:w="2376"/>
            <w:tcMar>
              <w:top w:w="100" w:type="dxa"/>
              <w:start w:w="120" w:type="dxa"/>
              <w:bottom w:w="100" w:type="dxa"/>
              <w:end w:w="120" w:type="dxa"/>
            </w:tcMar>
            <w:vAlign w:val="center"/>
          </w:tcPr>
          <w:p>
            <w:pPr>
              <w:spacing w:after="0"/>
            </w:pPr>
            <w:r/>
            <w:r>
              <w:rPr>
                <w:rFonts w:ascii="Aptos" w:hAnsi="Aptos" w:eastAsia="Aptos"/>
                <w:sz w:val="18"/>
              </w:rPr>
              <w:t>Competence</w:t>
            </w:r>
          </w:p>
        </w:tc>
        <w:tc>
          <w:tcPr>
            <w:tcW w:type="dxa" w:w="6984"/>
            <w:tcMar>
              <w:top w:w="100" w:type="dxa"/>
              <w:start w:w="120" w:type="dxa"/>
              <w:bottom w:w="100" w:type="dxa"/>
              <w:end w:w="120" w:type="dxa"/>
            </w:tcMar>
            <w:vAlign w:val="center"/>
          </w:tcPr>
          <w:p>
            <w:pPr>
              <w:spacing w:after="0"/>
            </w:pPr>
            <w:r>
              <w:t>Practical demonstration of a skill or a qualifying examination; assessment by at least one competent specialist, and preferably two for SC-4/SC-5.</w:t>
            </w:r>
            <w:r>
              <w:rPr>
                <w:rFonts w:ascii="Aptos" w:hAnsi="Aptos" w:eastAsia="Aptos"/>
                <w:sz w:val="18"/>
              </w:rPr>
            </w:r>
          </w:p>
        </w:tc>
      </w:tr>
      <w:tr>
        <w:trPr>
          <w:cantSplit/>
          <w:cantSplit/>
        </w:trPr>
        <w:tc>
          <w:tcPr>
            <w:tcW w:type="dxa" w:w="2376"/>
            <w:tcMar>
              <w:top w:w="100" w:type="dxa"/>
              <w:start w:w="120" w:type="dxa"/>
              <w:bottom w:w="100" w:type="dxa"/>
              <w:end w:w="120" w:type="dxa"/>
            </w:tcMar>
            <w:vAlign w:val="center"/>
          </w:tcPr>
          <w:p>
            <w:pPr>
              <w:spacing w:after="0"/>
            </w:pPr>
            <w:r/>
            <w:r>
              <w:rPr>
                <w:rFonts w:ascii="Aptos" w:hAnsi="Aptos" w:eastAsia="Aptos"/>
                <w:sz w:val="18"/>
              </w:rPr>
              <w:t>With Distinction</w:t>
            </w:r>
          </w:p>
        </w:tc>
        <w:tc>
          <w:tcPr>
            <w:tcW w:type="dxa" w:w="6984"/>
            <w:tcMar>
              <w:top w:w="100" w:type="dxa"/>
              <w:start w:w="120" w:type="dxa"/>
              <w:bottom w:w="100" w:type="dxa"/>
              <w:end w:w="120" w:type="dxa"/>
            </w:tcMar>
            <w:vAlign w:val="center"/>
          </w:tcPr>
          <w:p>
            <w:pPr>
              <w:spacing w:after="0"/>
            </w:pPr>
            <w:r>
              <w:t>Permitted only where the criteria have been published in advance and an objective results scale is used.</w:t>
            </w:r>
            <w:r>
              <w:rPr>
                <w:rFonts w:ascii="Aptos" w:hAnsi="Aptos" w:eastAsia="Aptos"/>
                <w:sz w:val="18"/>
              </w:rPr>
            </w:r>
          </w:p>
        </w:tc>
      </w:tr>
    </w:tbl>
    <w:p>
      <w:pPr>
        <w:widowControl/>
        <w:spacing w:after="20"/>
      </w:pPr>
    </w:p>
    <w:p>
      <w:pPr>
        <w:pStyle w:val="Heading2"/>
        <w:widowControl/>
      </w:pPr>
      <w:r>
        <w:t>18. Requirements for Course Instructors</w:t>
      </w:r>
    </w:p>
    <w:p>
      <w:pPr>
        <w:pStyle w:val="ListBullet"/>
        <w:widowControl/>
        <w:spacing w:after="40"/>
      </w:pPr>
      <w:r>
        <w:rPr>
          <w:rFonts w:ascii="Aptos" w:hAnsi="Aptos" w:eastAsia="Aptos"/>
          <w:sz w:val="21"/>
        </w:rPr>
        <w:t>Theological and canonical disciplines: the instructor shall hold a recognised ecclesiastical or academic qualification at a level appropriate to the programme taught, or specific ecclesiastical authorisation based on demonstrated competence.</w:t>
      </w:r>
    </w:p>
    <w:p>
      <w:pPr>
        <w:pStyle w:val="ListBullet"/>
        <w:widowControl/>
        <w:spacing w:after="40"/>
      </w:pPr>
      <w:r>
        <w:rPr>
          <w:rFonts w:ascii="Aptos" w:hAnsi="Aptos" w:eastAsia="Aptos"/>
          <w:sz w:val="21"/>
        </w:rPr>
        <w:t>Practical disciplines: a practitioner-instructor with documented experience and recognised professional or ecclesiastical competence may teach.</w:t>
      </w:r>
    </w:p>
    <w:p>
      <w:pPr>
        <w:pStyle w:val="ListBullet"/>
        <w:widowControl/>
        <w:spacing w:after="40"/>
      </w:pPr>
      <w:r>
        <w:rPr>
          <w:rFonts w:ascii="Aptos" w:hAnsi="Aptos" w:eastAsia="Aptos"/>
          <w:sz w:val="21"/>
        </w:rPr>
        <w:t>SC-4 and SC-5 courses shall have an academic or programme director responsible for the coherence of the content and the final assessment.</w:t>
      </w:r>
    </w:p>
    <w:p>
      <w:pPr>
        <w:pStyle w:val="ListBullet"/>
        <w:widowControl/>
        <w:spacing w:after="40"/>
      </w:pPr>
      <w:r>
        <w:rPr>
          <w:rFonts w:ascii="Aptos" w:hAnsi="Aptos" w:eastAsia="Aptos"/>
          <w:sz w:val="21"/>
        </w:rPr>
        <w:t>Conflicts of interest in final assessment shall be minimised; an independent second examiner is recommended for longer programmes.</w:t>
      </w:r>
    </w:p>
    <w:p>
      <w:pPr>
        <w:pStyle w:val="Heading2"/>
        <w:widowControl/>
      </w:pPr>
      <w:r>
        <w:t>19. Online and Blended Learning</w:t>
      </w:r>
    </w:p>
    <w:p>
      <w:pPr>
        <w:pStyle w:val="ListBullet"/>
        <w:widowControl/>
        <w:spacing w:after="40"/>
      </w:pPr>
      <w:r>
        <w:rPr>
          <w:rFonts w:ascii="Aptos" w:hAnsi="Aptos" w:eastAsia="Aptos"/>
          <w:sz w:val="21"/>
        </w:rPr>
        <w:t>An online course shall provide learner identification procedures proportionate to the status of the certificate issued.</w:t>
      </w:r>
    </w:p>
    <w:p>
      <w:pPr>
        <w:pStyle w:val="ListBullet"/>
        <w:widowControl/>
        <w:spacing w:after="40"/>
      </w:pPr>
      <w:r>
        <w:rPr>
          <w:rFonts w:ascii="Aptos" w:hAnsi="Aptos" w:eastAsia="Aptos"/>
          <w:sz w:val="21"/>
        </w:rPr>
        <w:t>For a Certificate of Competence, practical skills shall be assessed in person, in a live video session, or by another method that allows reliable observation of task performance.</w:t>
      </w:r>
    </w:p>
    <w:p>
      <w:pPr>
        <w:pStyle w:val="ListBullet"/>
        <w:widowControl/>
        <w:spacing w:after="40"/>
      </w:pPr>
      <w:r>
        <w:rPr>
          <w:rFonts w:ascii="Aptos" w:hAnsi="Aptos" w:eastAsia="Aptos"/>
          <w:sz w:val="21"/>
        </w:rPr>
        <w:t>Class recordings, learning materials, and learners’ personal data shall be processed in accordance with applicable law.</w:t>
      </w:r>
    </w:p>
    <w:p>
      <w:pPr>
        <w:pStyle w:val="ListBullet"/>
        <w:widowControl/>
        <w:spacing w:after="40"/>
      </w:pPr>
      <w:r>
        <w:rPr>
          <w:rFonts w:ascii="Aptos" w:hAnsi="Aptos" w:eastAsia="Aptos"/>
          <w:sz w:val="21"/>
        </w:rPr>
        <w:t>Automated tests may form part of assessment but shall not be the sole means of evaluating complex pastoral, theological, or practical competence.</w:t>
      </w:r>
    </w:p>
    <w:p>
      <w:pPr>
        <w:pStyle w:val="Heading1"/>
        <w:widowControl/>
      </w:pPr>
      <w:r>
        <w:t>PART III. QUALITY ASSURANCE AND APPROVAL</w:t>
      </w:r>
    </w:p>
    <w:p>
      <w:pPr>
        <w:pStyle w:val="Heading2"/>
        <w:widowControl/>
      </w:pPr>
      <w:r>
        <w:t>20. Programme Approval</w:t>
      </w:r>
    </w:p>
    <w:p>
      <w:pPr>
        <w:pStyle w:val="ListBullet"/>
        <w:widowControl/>
        <w:spacing w:after="40"/>
      </w:pPr>
      <w:r>
        <w:rPr>
          <w:rFonts w:ascii="Aptos" w:hAnsi="Aptos" w:eastAsia="Aptos"/>
          <w:sz w:val="21"/>
        </w:rPr>
        <w:t>Sunday School programmes shall be approved by the parish, diocese, or another authorised ecclesiastical body in accordance with the internal governance of the Church.</w:t>
      </w:r>
    </w:p>
    <w:p>
      <w:pPr>
        <w:pStyle w:val="ListBullet"/>
        <w:widowControl/>
        <w:spacing w:after="40"/>
      </w:pPr>
      <w:r>
        <w:rPr>
          <w:rFonts w:ascii="Aptos" w:hAnsi="Aptos" w:eastAsia="Aptos"/>
          <w:sz w:val="21"/>
        </w:rPr>
        <w:t>SC-1 and SC-2 courses may be approved by the head of the educational centre or programme.</w:t>
      </w:r>
    </w:p>
    <w:p>
      <w:pPr>
        <w:pStyle w:val="ListBullet"/>
        <w:widowControl/>
        <w:spacing w:after="40"/>
      </w:pPr>
      <w:r>
        <w:rPr>
          <w:rFonts w:ascii="Aptos" w:hAnsi="Aptos" w:eastAsia="Aptos"/>
          <w:sz w:val="21"/>
        </w:rPr>
        <w:t>SC-3–SC-5 courses shall undergo a documented content review by at least one specialist who is not the sole author of the course.</w:t>
      </w:r>
    </w:p>
    <w:p>
      <w:pPr>
        <w:pStyle w:val="ListBullet"/>
        <w:widowControl/>
        <w:spacing w:after="40"/>
      </w:pPr>
      <w:r>
        <w:rPr>
          <w:rFonts w:ascii="Aptos" w:hAnsi="Aptos" w:eastAsia="Aptos"/>
          <w:sz w:val="21"/>
        </w:rPr>
        <w:t>Theological, canonical, and liturgical programmes may require separate ecclesiastical approval of their content.</w:t>
      </w:r>
    </w:p>
    <w:p>
      <w:pPr>
        <w:pStyle w:val="Heading2"/>
        <w:widowControl/>
      </w:pPr>
      <w:r>
        <w:t>21. Review and Quality Assurance</w:t>
      </w:r>
    </w:p>
    <w:tbl>
      <w:tblPr>
        <w:tblW w:type="auto" w:w="0"/>
        <w:jc w:val="center"/>
        <w:tblLayout w:type="fixed"/>
        <w:tblLook w:firstColumn="1" w:firstRow="1" w:lastColumn="0" w:lastRow="0" w:noHBand="0" w:noVBand="1" w:val="04A0"/>
      </w:tblPr>
      <w:tblGrid>
        <w:gridCol w:w="4896"/>
        <w:gridCol w:w="4896"/>
      </w:tblGrid>
      <w:tr>
        <w:trPr>
          <w:tblHeader w:val="true"/>
          <w:cantSplit/>
          <w:cantSplit/>
        </w:trPr>
        <w:tc>
          <w:tcPr>
            <w:tcW w:type="dxa" w:w="2304"/>
            <w:shd w:fill="243A5E"/>
            <w:tcMar>
              <w:top w:w="120" w:type="dxa"/>
              <w:start w:w="120" w:type="dxa"/>
              <w:bottom w:w="120" w:type="dxa"/>
              <w:end w:w="120" w:type="dxa"/>
            </w:tcMar>
            <w:vAlign w:val="center"/>
          </w:tcPr>
          <w:p>
            <w:pPr>
              <w:jc w:val="center"/>
            </w:pPr>
            <w:r>
              <w:t>Programme</w:t>
            </w:r>
            <w:r>
              <w:rPr>
                <w:rFonts w:ascii="Aptos" w:hAnsi="Aptos" w:eastAsia="Aptos"/>
                <w:b/>
                <w:color w:val="FFFFFF"/>
                <w:sz w:val="19"/>
              </w:rPr>
            </w:r>
          </w:p>
        </w:tc>
        <w:tc>
          <w:tcPr>
            <w:tcW w:type="dxa" w:w="7056"/>
            <w:shd w:fill="243A5E"/>
            <w:tcMar>
              <w:top w:w="120" w:type="dxa"/>
              <w:start w:w="120" w:type="dxa"/>
              <w:bottom w:w="120" w:type="dxa"/>
              <w:end w:w="120" w:type="dxa"/>
            </w:tcMar>
            <w:vAlign w:val="center"/>
          </w:tcPr>
          <w:p>
            <w:pPr>
              <w:jc w:val="center"/>
            </w:pPr>
            <w:r>
              <w:t>Minimum Quality Cycle</w:t>
            </w:r>
            <w:r>
              <w:rPr>
                <w:rFonts w:ascii="Aptos" w:hAnsi="Aptos" w:eastAsia="Aptos"/>
                <w:b/>
                <w:color w:val="FFFFFF"/>
                <w:sz w:val="19"/>
              </w:rPr>
            </w:r>
          </w:p>
        </w:tc>
      </w:tr>
      <w:tr>
        <w:trPr>
          <w:cantSplit/>
          <w:cantSplit/>
        </w:trPr>
        <w:tc>
          <w:tcPr>
            <w:tcW w:type="dxa" w:w="2304"/>
            <w:tcMar>
              <w:top w:w="100" w:type="dxa"/>
              <w:start w:w="120" w:type="dxa"/>
              <w:bottom w:w="100" w:type="dxa"/>
              <w:end w:w="120" w:type="dxa"/>
            </w:tcMar>
            <w:vAlign w:val="center"/>
          </w:tcPr>
          <w:p>
            <w:pPr>
              <w:spacing w:after="0"/>
            </w:pPr>
            <w:r>
              <w:t>Sunday School</w:t>
            </w:r>
            <w:r>
              <w:rPr>
                <w:rFonts w:ascii="Aptos" w:hAnsi="Aptos" w:eastAsia="Aptos"/>
                <w:sz w:val="18"/>
              </w:rPr>
            </w:r>
          </w:p>
        </w:tc>
        <w:tc>
          <w:tcPr>
            <w:tcW w:type="dxa" w:w="7056"/>
            <w:tcMar>
              <w:top w:w="100" w:type="dxa"/>
              <w:start w:w="120" w:type="dxa"/>
              <w:bottom w:w="100" w:type="dxa"/>
              <w:end w:w="120" w:type="dxa"/>
            </w:tcMar>
            <w:vAlign w:val="center"/>
          </w:tcPr>
          <w:p>
            <w:pPr>
              <w:spacing w:after="0"/>
            </w:pPr>
            <w:r>
              <w:t>Annual internal review of attendance, feedback, safety, and achievement of objectives; substantive programme review at least once every three years.</w:t>
            </w:r>
            <w:r>
              <w:rPr>
                <w:rFonts w:ascii="Aptos" w:hAnsi="Aptos" w:eastAsia="Aptos"/>
                <w:sz w:val="18"/>
              </w:rPr>
            </w:r>
          </w:p>
        </w:tc>
      </w:tr>
      <w:tr>
        <w:trPr>
          <w:cantSplit/>
          <w:cantSplit/>
        </w:trPr>
        <w:tc>
          <w:tcPr>
            <w:tcW w:type="dxa" w:w="2304"/>
            <w:tcMar>
              <w:top w:w="100" w:type="dxa"/>
              <w:start w:w="120" w:type="dxa"/>
              <w:bottom w:w="100" w:type="dxa"/>
              <w:end w:w="120" w:type="dxa"/>
            </w:tcMar>
            <w:vAlign w:val="center"/>
          </w:tcPr>
          <w:p>
            <w:pPr>
              <w:spacing w:after="0"/>
            </w:pPr>
            <w:r/>
            <w:r>
              <w:rPr>
                <w:rFonts w:ascii="Aptos" w:hAnsi="Aptos" w:eastAsia="Aptos"/>
                <w:sz w:val="18"/>
              </w:rPr>
              <w:t>SC-1 / SC-2</w:t>
            </w:r>
          </w:p>
        </w:tc>
        <w:tc>
          <w:tcPr>
            <w:tcW w:type="dxa" w:w="7056"/>
            <w:tcMar>
              <w:top w:w="100" w:type="dxa"/>
              <w:start w:w="120" w:type="dxa"/>
              <w:bottom w:w="100" w:type="dxa"/>
              <w:end w:w="120" w:type="dxa"/>
            </w:tcMar>
            <w:vAlign w:val="center"/>
          </w:tcPr>
          <w:p>
            <w:pPr>
              <w:spacing w:after="0"/>
            </w:pPr>
            <w:r>
              <w:t>Review upon substantial change of content or at least once every three years.</w:t>
            </w:r>
            <w:r>
              <w:rPr>
                <w:rFonts w:ascii="Aptos" w:hAnsi="Aptos" w:eastAsia="Aptos"/>
                <w:sz w:val="18"/>
              </w:rPr>
            </w:r>
          </w:p>
        </w:tc>
      </w:tr>
      <w:tr>
        <w:trPr>
          <w:cantSplit/>
          <w:cantSplit/>
        </w:trPr>
        <w:tc>
          <w:tcPr>
            <w:tcW w:type="dxa" w:w="2304"/>
            <w:tcMar>
              <w:top w:w="100" w:type="dxa"/>
              <w:start w:w="120" w:type="dxa"/>
              <w:bottom w:w="100" w:type="dxa"/>
              <w:end w:w="120" w:type="dxa"/>
            </w:tcMar>
            <w:vAlign w:val="center"/>
          </w:tcPr>
          <w:p>
            <w:pPr>
              <w:spacing w:after="0"/>
            </w:pPr>
            <w:r/>
            <w:r>
              <w:rPr>
                <w:rFonts w:ascii="Aptos" w:hAnsi="Aptos" w:eastAsia="Aptos"/>
                <w:sz w:val="18"/>
              </w:rPr>
              <w:t>SC-3</w:t>
            </w:r>
          </w:p>
        </w:tc>
        <w:tc>
          <w:tcPr>
            <w:tcW w:type="dxa" w:w="7056"/>
            <w:tcMar>
              <w:top w:w="100" w:type="dxa"/>
              <w:start w:w="120" w:type="dxa"/>
              <w:bottom w:w="100" w:type="dxa"/>
              <w:end w:w="120" w:type="dxa"/>
            </w:tcMar>
            <w:vAlign w:val="center"/>
          </w:tcPr>
          <w:p>
            <w:pPr>
              <w:spacing w:after="0"/>
            </w:pPr>
            <w:r>
              <w:t>Formal review at least once every three years, including analysis of results and feedback.</w:t>
            </w:r>
            <w:r>
              <w:rPr>
                <w:rFonts w:ascii="Aptos" w:hAnsi="Aptos" w:eastAsia="Aptos"/>
                <w:sz w:val="18"/>
              </w:rPr>
            </w:r>
          </w:p>
        </w:tc>
      </w:tr>
      <w:tr>
        <w:trPr>
          <w:cantSplit/>
          <w:cantSplit/>
        </w:trPr>
        <w:tc>
          <w:tcPr>
            <w:tcW w:type="dxa" w:w="2304"/>
            <w:tcMar>
              <w:top w:w="100" w:type="dxa"/>
              <w:start w:w="120" w:type="dxa"/>
              <w:bottom w:w="100" w:type="dxa"/>
              <w:end w:w="120" w:type="dxa"/>
            </w:tcMar>
            <w:vAlign w:val="center"/>
          </w:tcPr>
          <w:p>
            <w:pPr>
              <w:spacing w:after="0"/>
            </w:pPr>
            <w:r/>
            <w:r>
              <w:rPr>
                <w:rFonts w:ascii="Aptos" w:hAnsi="Aptos" w:eastAsia="Aptos"/>
                <w:sz w:val="18"/>
              </w:rPr>
              <w:t>SC-4 / SC-5</w:t>
            </w:r>
          </w:p>
        </w:tc>
        <w:tc>
          <w:tcPr>
            <w:tcW w:type="dxa" w:w="7056"/>
            <w:tcMar>
              <w:top w:w="100" w:type="dxa"/>
              <w:start w:w="120" w:type="dxa"/>
              <w:bottom w:w="100" w:type="dxa"/>
              <w:end w:w="120" w:type="dxa"/>
            </w:tcMar>
            <w:vAlign w:val="center"/>
          </w:tcPr>
          <w:p>
            <w:pPr>
              <w:spacing w:after="0"/>
            </w:pPr>
            <w:r>
              <w:t>Annual monitoring and full review at least once every three years; an external reviewer is recommended.</w:t>
            </w:r>
            <w:r>
              <w:rPr>
                <w:rFonts w:ascii="Aptos" w:hAnsi="Aptos" w:eastAsia="Aptos"/>
                <w:sz w:val="18"/>
              </w:rPr>
            </w:r>
          </w:p>
        </w:tc>
      </w:tr>
    </w:tbl>
    <w:p>
      <w:pPr>
        <w:widowControl/>
        <w:spacing w:after="20"/>
      </w:pPr>
    </w:p>
    <w:p>
      <w:pPr>
        <w:pStyle w:val="Heading2"/>
        <w:widowControl/>
      </w:pPr>
      <w:r>
        <w:t>22. Academic and Ecclesiastical Integrity</w:t>
      </w:r>
    </w:p>
    <w:p>
      <w:pPr>
        <w:pStyle w:val="ListBullet"/>
        <w:widowControl/>
        <w:spacing w:after="40"/>
      </w:pPr>
      <w:r>
        <w:rPr>
          <w:rFonts w:ascii="Aptos" w:hAnsi="Aptos" w:eastAsia="Aptos"/>
          <w:sz w:val="21"/>
        </w:rPr>
        <w:t>Plagiarism, falsification of results, fictitious attendance records, and issuance of a certificate without fulfilment of the requirements are prohibited.</w:t>
      </w:r>
    </w:p>
    <w:p>
      <w:pPr>
        <w:pStyle w:val="ListBullet"/>
        <w:widowControl/>
        <w:spacing w:after="40"/>
      </w:pPr>
      <w:r>
        <w:rPr>
          <w:rFonts w:ascii="Aptos" w:hAnsi="Aptos" w:eastAsia="Aptos"/>
          <w:sz w:val="21"/>
        </w:rPr>
        <w:t>The use of AI and other assistive tools shall be governed by programme policy; a learner shall not present machine-generated output as evidence of his or her own verified competence.</w:t>
      </w:r>
    </w:p>
    <w:p>
      <w:pPr>
        <w:pStyle w:val="ListBullet"/>
        <w:widowControl/>
        <w:spacing w:after="40"/>
      </w:pPr>
      <w:r>
        <w:rPr>
          <w:rFonts w:ascii="Aptos" w:hAnsi="Aptos" w:eastAsia="Aptos"/>
          <w:sz w:val="21"/>
        </w:rPr>
        <w:t>A financial contribution, donation, church office, or personal relationship may not substitute for fulfilment of programme requirements.</w:t>
      </w:r>
    </w:p>
    <w:p>
      <w:pPr>
        <w:pStyle w:val="ListBullet"/>
        <w:widowControl/>
        <w:spacing w:after="40"/>
      </w:pPr>
      <w:r>
        <w:rPr>
          <w:rFonts w:ascii="Aptos" w:hAnsi="Aptos" w:eastAsia="Aptos"/>
          <w:sz w:val="21"/>
        </w:rPr>
        <w:t>A certificate may be revoked in cases of proven falsification, erroneous issuance, or material breach of the conditions for award.</w:t>
      </w:r>
    </w:p>
    <w:p>
      <w:pPr>
        <w:pStyle w:val="Heading2"/>
        <w:widowControl/>
      </w:pPr>
      <w:r>
        <w:t>23. Register and Verifiability of Certificates</w:t>
      </w:r>
    </w:p>
    <w:p>
      <w:pPr>
        <w:widowControl/>
      </w:pPr>
      <w:r>
        <w:t>A centralised or local register is recommended for the Certificate of Completion, Certificate of Competence, and Sunday School Graduation Certificate. The minimum record shall include the certificate number, graduate’s name, programme title, volume of study, date of issue, issuing organisation, and status of the credential. Public verification shall comply with personal data protection requirements.</w:t>
      </w:r>
    </w:p>
    <w:p>
      <w:pPr>
        <w:pStyle w:val="Heading2"/>
        <w:widowControl/>
      </w:pPr>
      <w:r>
        <w:t>24. Minimum Information on a Certificate</w:t>
      </w:r>
    </w:p>
    <w:tbl>
      <w:tblPr>
        <w:tblW w:type="auto" w:w="0"/>
        <w:jc w:val="center"/>
        <w:tblLayout w:type="fixed"/>
        <w:tblLook w:firstColumn="1" w:firstRow="1" w:lastColumn="0" w:lastRow="0" w:noHBand="0" w:noVBand="1" w:val="04A0"/>
      </w:tblPr>
      <w:tblGrid>
        <w:gridCol w:w="4896"/>
        <w:gridCol w:w="4896"/>
      </w:tblGrid>
      <w:tr>
        <w:trPr>
          <w:tblHeader w:val="true"/>
          <w:cantSplit/>
          <w:cantSplit/>
        </w:trPr>
        <w:tc>
          <w:tcPr>
            <w:tcW w:type="dxa" w:w="2376"/>
            <w:shd w:fill="243A5E"/>
            <w:tcMar>
              <w:top w:w="120" w:type="dxa"/>
              <w:start w:w="120" w:type="dxa"/>
              <w:bottom w:w="120" w:type="dxa"/>
              <w:end w:w="120" w:type="dxa"/>
            </w:tcMar>
            <w:vAlign w:val="center"/>
          </w:tcPr>
          <w:p>
            <w:pPr>
              <w:jc w:val="center"/>
            </w:pPr>
            <w:r>
              <w:t>Category</w:t>
            </w:r>
            <w:r>
              <w:rPr>
                <w:rFonts w:ascii="Aptos" w:hAnsi="Aptos" w:eastAsia="Aptos"/>
                <w:b/>
                <w:color w:val="FFFFFF"/>
                <w:sz w:val="19"/>
              </w:rPr>
            </w:r>
          </w:p>
        </w:tc>
        <w:tc>
          <w:tcPr>
            <w:tcW w:type="dxa" w:w="6984"/>
            <w:shd w:fill="243A5E"/>
            <w:tcMar>
              <w:top w:w="120" w:type="dxa"/>
              <w:start w:w="120" w:type="dxa"/>
              <w:bottom w:w="120" w:type="dxa"/>
              <w:end w:w="120" w:type="dxa"/>
            </w:tcMar>
            <w:vAlign w:val="center"/>
          </w:tcPr>
          <w:p>
            <w:pPr>
              <w:jc w:val="center"/>
            </w:pPr>
            <w:r>
              <w:t>Content</w:t>
            </w:r>
            <w:r>
              <w:rPr>
                <w:rFonts w:ascii="Aptos" w:hAnsi="Aptos" w:eastAsia="Aptos"/>
                <w:b/>
                <w:color w:val="FFFFFF"/>
                <w:sz w:val="19"/>
              </w:rPr>
            </w:r>
          </w:p>
        </w:tc>
      </w:tr>
      <w:tr>
        <w:trPr>
          <w:cantSplit/>
          <w:cantSplit/>
        </w:trPr>
        <w:tc>
          <w:tcPr>
            <w:tcW w:type="dxa" w:w="2376"/>
            <w:tcMar>
              <w:top w:w="100" w:type="dxa"/>
              <w:start w:w="120" w:type="dxa"/>
              <w:bottom w:w="100" w:type="dxa"/>
              <w:end w:w="120" w:type="dxa"/>
            </w:tcMar>
            <w:vAlign w:val="center"/>
          </w:tcPr>
          <w:p>
            <w:pPr>
              <w:spacing w:after="0"/>
            </w:pPr>
            <w:r>
              <w:t>Required</w:t>
            </w:r>
            <w:r>
              <w:rPr>
                <w:rFonts w:ascii="Aptos" w:hAnsi="Aptos" w:eastAsia="Aptos"/>
                <w:sz w:val="18"/>
              </w:rPr>
            </w:r>
          </w:p>
        </w:tc>
        <w:tc>
          <w:tcPr>
            <w:tcW w:type="dxa" w:w="6984"/>
            <w:tcMar>
              <w:top w:w="100" w:type="dxa"/>
              <w:start w:w="120" w:type="dxa"/>
              <w:bottom w:w="100" w:type="dxa"/>
              <w:end w:w="120" w:type="dxa"/>
            </w:tcMar>
            <w:vAlign w:val="center"/>
          </w:tcPr>
          <w:p>
            <w:pPr>
              <w:spacing w:after="0"/>
            </w:pPr>
            <w:r>
              <w:t>Recipient’s name; exact programme title; certificate type; date; issuing organisation; signature or digital authentication; unique identifier.</w:t>
            </w:r>
            <w:r>
              <w:rPr>
                <w:rFonts w:ascii="Aptos" w:hAnsi="Aptos" w:eastAsia="Aptos"/>
                <w:sz w:val="18"/>
              </w:rPr>
            </w:r>
          </w:p>
        </w:tc>
      </w:tr>
      <w:tr>
        <w:trPr>
          <w:cantSplit/>
          <w:cantSplit/>
        </w:trPr>
        <w:tc>
          <w:tcPr>
            <w:tcW w:type="dxa" w:w="2376"/>
            <w:tcMar>
              <w:top w:w="100" w:type="dxa"/>
              <w:start w:w="120" w:type="dxa"/>
              <w:bottom w:w="100" w:type="dxa"/>
              <w:end w:w="120" w:type="dxa"/>
            </w:tcMar>
            <w:vAlign w:val="center"/>
          </w:tcPr>
          <w:p>
            <w:pPr>
              <w:spacing w:after="0"/>
            </w:pPr>
            <w:r>
              <w:t>For Completion / Competence</w:t>
            </w:r>
            <w:r>
              <w:rPr>
                <w:rFonts w:ascii="Aptos" w:hAnsi="Aptos" w:eastAsia="Aptos"/>
                <w:sz w:val="18"/>
              </w:rPr>
            </w:r>
          </w:p>
        </w:tc>
        <w:tc>
          <w:tcPr>
            <w:tcW w:type="dxa" w:w="6984"/>
            <w:tcMar>
              <w:top w:w="100" w:type="dxa"/>
              <w:start w:w="120" w:type="dxa"/>
              <w:bottom w:w="100" w:type="dxa"/>
              <w:end w:w="120" w:type="dxa"/>
            </w:tcMar>
            <w:vAlign w:val="center"/>
          </w:tcPr>
          <w:p>
            <w:pPr>
              <w:spacing w:after="0"/>
            </w:pPr>
            <w:r>
              <w:t>Volume of study; where applicable, course level SC-1–SC-5; final result or confirmation that requirements have been fulfilled.</w:t>
            </w:r>
            <w:r>
              <w:rPr>
                <w:rFonts w:ascii="Aptos" w:hAnsi="Aptos" w:eastAsia="Aptos"/>
                <w:sz w:val="18"/>
              </w:rPr>
            </w:r>
          </w:p>
        </w:tc>
      </w:tr>
      <w:tr>
        <w:trPr>
          <w:cantSplit/>
          <w:cantSplit/>
        </w:trPr>
        <w:tc>
          <w:tcPr>
            <w:tcW w:type="dxa" w:w="2376"/>
            <w:tcMar>
              <w:top w:w="100" w:type="dxa"/>
              <w:start w:w="120" w:type="dxa"/>
              <w:bottom w:w="100" w:type="dxa"/>
              <w:end w:w="120" w:type="dxa"/>
            </w:tcMar>
            <w:vAlign w:val="center"/>
          </w:tcPr>
          <w:p>
            <w:pPr>
              <w:spacing w:after="0"/>
            </w:pPr>
            <w:r>
              <w:t>Recommended Disclaimer</w:t>
            </w:r>
            <w:r>
              <w:rPr>
                <w:rFonts w:ascii="Aptos" w:hAnsi="Aptos" w:eastAsia="Aptos"/>
                <w:sz w:val="18"/>
              </w:rPr>
            </w:r>
          </w:p>
        </w:tc>
        <w:tc>
          <w:tcPr>
            <w:tcW w:type="dxa" w:w="6984"/>
            <w:tcMar>
              <w:top w:w="100" w:type="dxa"/>
              <w:start w:w="120" w:type="dxa"/>
              <w:bottom w:w="100" w:type="dxa"/>
              <w:end w:w="120" w:type="dxa"/>
            </w:tcMar>
            <w:vAlign w:val="center"/>
          </w:tcPr>
          <w:p>
            <w:pPr>
              <w:spacing w:after="0"/>
            </w:pPr>
            <w:r/>
            <w:r>
              <w:rPr>
                <w:rFonts w:ascii="Aptos" w:hAnsi="Aptos" w:eastAsia="Aptos"/>
                <w:sz w:val="18"/>
              </w:rPr>
              <w:t>This certificate is an ecclesiastical non-degree qualification and does not constitute a state-awarded academic degree or professional licence unless separately recognised.</w:t>
            </w:r>
          </w:p>
        </w:tc>
      </w:tr>
      <w:tr>
        <w:trPr>
          <w:cantSplit/>
          <w:cantSplit/>
        </w:trPr>
        <w:tc>
          <w:tcPr>
            <w:tcW w:type="dxa" w:w="2376"/>
            <w:tcMar>
              <w:top w:w="100" w:type="dxa"/>
              <w:start w:w="120" w:type="dxa"/>
              <w:bottom w:w="100" w:type="dxa"/>
              <w:end w:w="120" w:type="dxa"/>
            </w:tcMar>
            <w:vAlign w:val="center"/>
          </w:tcPr>
          <w:p>
            <w:pPr>
              <w:spacing w:after="0"/>
            </w:pPr>
            <w:r>
              <w:t>For Sunday School</w:t>
            </w:r>
            <w:r>
              <w:rPr>
                <w:rFonts w:ascii="Aptos" w:hAnsi="Aptos" w:eastAsia="Aptos"/>
                <w:sz w:val="18"/>
              </w:rPr>
            </w:r>
          </w:p>
        </w:tc>
        <w:tc>
          <w:tcPr>
            <w:tcW w:type="dxa" w:w="6984"/>
            <w:tcMar>
              <w:top w:w="100" w:type="dxa"/>
              <w:start w:w="120" w:type="dxa"/>
              <w:bottom w:w="100" w:type="dxa"/>
              <w:end w:w="120" w:type="dxa"/>
            </w:tcMar>
            <w:vAlign w:val="center"/>
          </w:tcPr>
          <w:p>
            <w:pPr>
              <w:spacing w:after="0"/>
            </w:pPr>
            <w:r>
              <w:t>Level SS-0–SS-3/SS-A or identification of the completed cycle; academic degrees and titles shall not be used on such a credential.</w:t>
            </w:r>
            <w:r>
              <w:rPr>
                <w:rFonts w:ascii="Aptos" w:hAnsi="Aptos" w:eastAsia="Aptos"/>
                <w:sz w:val="18"/>
              </w:rPr>
            </w:r>
          </w:p>
        </w:tc>
      </w:tr>
    </w:tbl>
    <w:p>
      <w:pPr>
        <w:widowControl/>
        <w:spacing w:after="20"/>
      </w:pPr>
    </w:p>
    <w:p>
      <w:pPr>
        <w:pStyle w:val="Heading2"/>
        <w:widowControl/>
      </w:pPr>
      <w:r>
        <w:t>25. Local Law</w:t>
      </w:r>
    </w:p>
    <w:tbl>
      <w:tblPr>
        <w:tblW w:type="auto" w:w="0"/>
        <w:jc w:val="center"/>
        <w:tblLayout w:type="fixed"/>
        <w:tblLook w:firstColumn="1" w:firstRow="1" w:lastColumn="0" w:lastRow="0" w:noHBand="0" w:noVBand="1" w:val="04A0"/>
      </w:tblPr>
      <w:tblGrid>
        <w:gridCol w:w="9792"/>
      </w:tblGrid>
      <w:tr>
        <w:trPr>
          <w:cantSplit/>
        </w:trPr>
        <w:tc>
          <w:tcPr>
            <w:tcW w:type="dxa" w:w="9504"/>
            <w:shd w:fill="EEF3F8"/>
            <w:tcMar>
              <w:top w:w="160" w:type="dxa"/>
              <w:start w:w="180" w:type="dxa"/>
              <w:bottom w:w="160" w:type="dxa"/>
              <w:end w:w="180" w:type="dxa"/>
            </w:tcMar>
          </w:tcPr>
          <w:p>
            <w:pPr>
              <w:spacing w:after="0"/>
            </w:pPr>
            <w:r>
              <w:rPr>
                <w:rFonts w:ascii="Aptos" w:hAnsi="Aptos" w:eastAsia="Aptos"/>
                <w:b/>
                <w:color w:val="243A5E"/>
                <w:sz w:val="20"/>
              </w:rPr>
              <w:t>Legal principle: this Standard does not supersede the requirements of the jurisdiction in which instruction is actually delivered. The organisation shall separately verify rules governing work with minors, distance learning, advertising of educational services, data protection, professional licensing, and the use of protected educational designations.</w:t>
            </w:r>
            <w:r>
              <w:rPr>
                <w:rFonts w:ascii="Aptos" w:hAnsi="Aptos" w:eastAsia="Aptos"/>
                <w:sz w:val="20"/>
              </w:rPr>
            </w:r>
          </w:p>
        </w:tc>
      </w:tr>
    </w:tbl>
    <w:p>
      <w:pPr>
        <w:widowControl/>
        <w:spacing w:after="20"/>
      </w:pPr>
    </w:p>
    <w:p>
      <w:pPr>
        <w:pStyle w:val="Heading1"/>
        <w:widowControl/>
      </w:pPr>
      <w:r>
        <w:t>APPENDIX A. Sunday School Programme Specification Template</w:t>
      </w:r>
    </w:p>
    <w:tbl>
      <w:tblPr>
        <w:tblW w:type="auto" w:w="0"/>
        <w:jc w:val="center"/>
        <w:tblLayout w:type="fixed"/>
        <w:tblLook w:firstColumn="1" w:firstRow="1" w:lastColumn="0" w:lastRow="0" w:noHBand="0" w:noVBand="1" w:val="04A0"/>
      </w:tblPr>
      <w:tblGrid>
        <w:gridCol w:w="4896"/>
        <w:gridCol w:w="4896"/>
      </w:tblGrid>
      <w:tr>
        <w:trPr>
          <w:tblHeader w:val="true"/>
          <w:cantSplit/>
          <w:cantSplit/>
        </w:trPr>
        <w:tc>
          <w:tcPr>
            <w:tcW w:type="dxa" w:w="3888"/>
            <w:shd w:fill="243A5E"/>
            <w:tcMar>
              <w:top w:w="120" w:type="dxa"/>
              <w:start w:w="120" w:type="dxa"/>
              <w:bottom w:w="120" w:type="dxa"/>
              <w:end w:w="120" w:type="dxa"/>
            </w:tcMar>
            <w:vAlign w:val="center"/>
          </w:tcPr>
          <w:p>
            <w:pPr>
              <w:jc w:val="center"/>
            </w:pPr>
            <w:r>
              <w:t>Field</w:t>
            </w:r>
            <w:r>
              <w:rPr>
                <w:rFonts w:ascii="Aptos" w:hAnsi="Aptos" w:eastAsia="Aptos"/>
                <w:b/>
                <w:color w:val="FFFFFF"/>
                <w:sz w:val="19"/>
              </w:rPr>
            </w:r>
          </w:p>
        </w:tc>
        <w:tc>
          <w:tcPr>
            <w:tcW w:type="dxa" w:w="5472"/>
            <w:shd w:fill="243A5E"/>
            <w:tcMar>
              <w:top w:w="120" w:type="dxa"/>
              <w:start w:w="120" w:type="dxa"/>
              <w:bottom w:w="120" w:type="dxa"/>
              <w:end w:w="120" w:type="dxa"/>
            </w:tcMar>
            <w:vAlign w:val="center"/>
          </w:tcPr>
          <w:p>
            <w:pPr>
              <w:jc w:val="center"/>
            </w:pPr>
            <w:r>
              <w:t>To Be Completed by the Organisation</w:t>
            </w:r>
            <w:r>
              <w:rPr>
                <w:rFonts w:ascii="Aptos" w:hAnsi="Aptos" w:eastAsia="Aptos"/>
                <w:b/>
                <w:color w:val="FFFFFF"/>
                <w:sz w:val="19"/>
              </w:rPr>
            </w:r>
          </w:p>
        </w:tc>
      </w:tr>
      <w:tr>
        <w:trPr>
          <w:cantSplit/>
          <w:cantSplit/>
        </w:trPr>
        <w:tc>
          <w:tcPr>
            <w:tcW w:type="dxa" w:w="3888"/>
            <w:tcMar>
              <w:top w:w="100" w:type="dxa"/>
              <w:start w:w="120" w:type="dxa"/>
              <w:bottom w:w="100" w:type="dxa"/>
              <w:end w:w="120" w:type="dxa"/>
            </w:tcMar>
            <w:vAlign w:val="center"/>
          </w:tcPr>
          <w:p>
            <w:pPr>
              <w:spacing w:after="0"/>
            </w:pPr>
            <w:r>
              <w:t>Title</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Ecclesiastical Jurisdiction / Parish</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Responsible Director</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SS Levels</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Learner Ages</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Number of Instructional Weeks</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Hours per Year</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Core Content Areas</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Forms of Assessment</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Safeguarding Policy</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Form of Final Credential</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Date of Approval / Review</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bl>
    <w:p>
      <w:pPr>
        <w:widowControl/>
        <w:spacing w:after="20"/>
      </w:pPr>
    </w:p>
    <w:p>
      <w:pPr>
        <w:pStyle w:val="Heading1"/>
        <w:widowControl/>
      </w:pPr>
      <w:r>
        <w:t>APPENDIX B. Specialized Course Specification Template</w:t>
      </w:r>
    </w:p>
    <w:tbl>
      <w:tblPr>
        <w:tblW w:type="auto" w:w="0"/>
        <w:jc w:val="center"/>
        <w:tblLayout w:type="fixed"/>
        <w:tblLook w:firstColumn="1" w:firstRow="1" w:lastColumn="0" w:lastRow="0" w:noHBand="0" w:noVBand="1" w:val="04A0"/>
      </w:tblPr>
      <w:tblGrid>
        <w:gridCol w:w="4896"/>
        <w:gridCol w:w="4896"/>
      </w:tblGrid>
      <w:tr>
        <w:trPr>
          <w:tblHeader w:val="true"/>
          <w:cantSplit/>
          <w:cantSplit/>
        </w:trPr>
        <w:tc>
          <w:tcPr>
            <w:tcW w:type="dxa" w:w="3888"/>
            <w:shd w:fill="243A5E"/>
            <w:tcMar>
              <w:top w:w="120" w:type="dxa"/>
              <w:start w:w="120" w:type="dxa"/>
              <w:bottom w:w="120" w:type="dxa"/>
              <w:end w:w="120" w:type="dxa"/>
            </w:tcMar>
            <w:vAlign w:val="center"/>
          </w:tcPr>
          <w:p>
            <w:pPr>
              <w:jc w:val="center"/>
            </w:pPr>
            <w:r>
              <w:t>Field</w:t>
            </w:r>
            <w:r>
              <w:rPr>
                <w:rFonts w:ascii="Aptos" w:hAnsi="Aptos" w:eastAsia="Aptos"/>
                <w:b/>
                <w:color w:val="FFFFFF"/>
                <w:sz w:val="19"/>
              </w:rPr>
            </w:r>
          </w:p>
        </w:tc>
        <w:tc>
          <w:tcPr>
            <w:tcW w:type="dxa" w:w="5472"/>
            <w:shd w:fill="243A5E"/>
            <w:tcMar>
              <w:top w:w="120" w:type="dxa"/>
              <w:start w:w="120" w:type="dxa"/>
              <w:bottom w:w="120" w:type="dxa"/>
              <w:end w:w="120" w:type="dxa"/>
            </w:tcMar>
            <w:vAlign w:val="center"/>
          </w:tcPr>
          <w:p>
            <w:pPr>
              <w:jc w:val="center"/>
            </w:pPr>
            <w:r>
              <w:t>To Be Completed by the Organisation</w:t>
            </w:r>
            <w:r>
              <w:rPr>
                <w:rFonts w:ascii="Aptos" w:hAnsi="Aptos" w:eastAsia="Aptos"/>
                <w:b/>
                <w:color w:val="FFFFFF"/>
                <w:sz w:val="19"/>
              </w:rPr>
            </w:r>
          </w:p>
        </w:tc>
      </w:tr>
      <w:tr>
        <w:trPr>
          <w:cantSplit/>
          <w:cantSplit/>
        </w:trPr>
        <w:tc>
          <w:tcPr>
            <w:tcW w:type="dxa" w:w="3888"/>
            <w:tcMar>
              <w:top w:w="100" w:type="dxa"/>
              <w:start w:w="120" w:type="dxa"/>
              <w:bottom w:w="100" w:type="dxa"/>
              <w:end w:w="120" w:type="dxa"/>
            </w:tcMar>
            <w:vAlign w:val="center"/>
          </w:tcPr>
          <w:p>
            <w:pPr>
              <w:spacing w:after="0"/>
            </w:pPr>
            <w:r>
              <w:t>Title and Code</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Category SC-1–SC-5</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Purpose</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Target Audience</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Admission Requirements</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Contact Hours</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Independent Study</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Practical Work</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Learning Outcomes</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Topics / Modules</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Assessment</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Successful Completion Criterion</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Instructors</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Certificate Type</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Responsible Authority</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r>
        <w:trPr>
          <w:cantSplit/>
          <w:cantSplit/>
        </w:trPr>
        <w:tc>
          <w:tcPr>
            <w:tcW w:type="dxa" w:w="3888"/>
            <w:tcMar>
              <w:top w:w="100" w:type="dxa"/>
              <w:start w:w="120" w:type="dxa"/>
              <w:bottom w:w="100" w:type="dxa"/>
              <w:end w:w="120" w:type="dxa"/>
            </w:tcMar>
            <w:vAlign w:val="center"/>
          </w:tcPr>
          <w:p>
            <w:pPr>
              <w:spacing w:after="0"/>
            </w:pPr>
            <w:r>
              <w:t>Date of Approval / Review</w:t>
            </w:r>
            <w:r>
              <w:rPr>
                <w:rFonts w:ascii="Aptos" w:hAnsi="Aptos" w:eastAsia="Aptos"/>
                <w:sz w:val="18"/>
              </w:rPr>
            </w:r>
          </w:p>
        </w:tc>
        <w:tc>
          <w:tcPr>
            <w:tcW w:type="dxa" w:w="5472"/>
            <w:tcMar>
              <w:top w:w="100" w:type="dxa"/>
              <w:start w:w="120" w:type="dxa"/>
              <w:bottom w:w="100" w:type="dxa"/>
              <w:end w:w="120" w:type="dxa"/>
            </w:tcMar>
            <w:vAlign w:val="center"/>
          </w:tcPr>
          <w:p>
            <w:pPr>
              <w:spacing w:after="0"/>
              <w:jc w:val="center"/>
            </w:pPr>
            <w:r/>
            <w:r>
              <w:rPr>
                <w:rFonts w:ascii="Aptos" w:hAnsi="Aptos" w:eastAsia="Aptos"/>
                <w:sz w:val="18"/>
              </w:rPr>
            </w:r>
          </w:p>
        </w:tc>
      </w:tr>
    </w:tbl>
    <w:p>
      <w:pPr>
        <w:widowControl/>
        <w:spacing w:after="20"/>
      </w:pPr>
    </w:p>
    <w:p>
      <w:pPr>
        <w:pStyle w:val="Heading1"/>
        <w:widowControl/>
      </w:pPr>
      <w:r>
        <w:t>APPENDIX C. Recommended Results Scale</w:t>
      </w:r>
    </w:p>
    <w:tbl>
      <w:tblPr>
        <w:tblW w:type="auto" w:w="0"/>
        <w:jc w:val="center"/>
        <w:tblLayout w:type="fixed"/>
        <w:tblLook w:firstColumn="1" w:firstRow="1" w:lastColumn="0" w:lastRow="0" w:noHBand="0" w:noVBand="1" w:val="04A0"/>
      </w:tblPr>
      <w:tblGrid>
        <w:gridCol w:w="4896"/>
        <w:gridCol w:w="4896"/>
      </w:tblGrid>
      <w:tr>
        <w:trPr>
          <w:tblHeader w:val="true"/>
          <w:cantSplit/>
          <w:cantSplit/>
        </w:trPr>
        <w:tc>
          <w:tcPr>
            <w:tcW w:type="dxa" w:w="2448"/>
            <w:shd w:fill="243A5E"/>
            <w:tcMar>
              <w:top w:w="120" w:type="dxa"/>
              <w:start w:w="120" w:type="dxa"/>
              <w:bottom w:w="120" w:type="dxa"/>
              <w:end w:w="120" w:type="dxa"/>
            </w:tcMar>
            <w:vAlign w:val="center"/>
          </w:tcPr>
          <w:p>
            <w:pPr>
              <w:jc w:val="center"/>
            </w:pPr>
            <w:r>
              <w:t>Result</w:t>
            </w:r>
            <w:r>
              <w:rPr>
                <w:rFonts w:ascii="Aptos" w:hAnsi="Aptos" w:eastAsia="Aptos"/>
                <w:b/>
                <w:color w:val="FFFFFF"/>
                <w:sz w:val="19"/>
              </w:rPr>
            </w:r>
          </w:p>
        </w:tc>
        <w:tc>
          <w:tcPr>
            <w:tcW w:type="dxa" w:w="6912"/>
            <w:shd w:fill="243A5E"/>
            <w:tcMar>
              <w:top w:w="120" w:type="dxa"/>
              <w:start w:w="120" w:type="dxa"/>
              <w:bottom w:w="120" w:type="dxa"/>
              <w:end w:w="120" w:type="dxa"/>
            </w:tcMar>
            <w:vAlign w:val="center"/>
          </w:tcPr>
          <w:p>
            <w:pPr>
              <w:jc w:val="center"/>
            </w:pPr>
            <w:r>
              <w:t>Description</w:t>
            </w:r>
            <w:r>
              <w:rPr>
                <w:rFonts w:ascii="Aptos" w:hAnsi="Aptos" w:eastAsia="Aptos"/>
                <w:b/>
                <w:color w:val="FFFFFF"/>
                <w:sz w:val="19"/>
              </w:rPr>
            </w:r>
          </w:p>
        </w:tc>
      </w:tr>
      <w:tr>
        <w:trPr>
          <w:cantSplit/>
          <w:cantSplit/>
        </w:trPr>
        <w:tc>
          <w:tcPr>
            <w:tcW w:type="dxa" w:w="2448"/>
            <w:tcMar>
              <w:top w:w="100" w:type="dxa"/>
              <w:start w:w="120" w:type="dxa"/>
              <w:bottom w:w="100" w:type="dxa"/>
              <w:end w:w="120" w:type="dxa"/>
            </w:tcMar>
            <w:vAlign w:val="center"/>
          </w:tcPr>
          <w:p>
            <w:pPr>
              <w:spacing w:after="0"/>
            </w:pPr>
            <w:r/>
            <w:r>
              <w:rPr>
                <w:rFonts w:ascii="Aptos" w:hAnsi="Aptos" w:eastAsia="Aptos"/>
                <w:sz w:val="18"/>
              </w:rPr>
              <w:t>Pass</w:t>
            </w:r>
          </w:p>
        </w:tc>
        <w:tc>
          <w:tcPr>
            <w:tcW w:type="dxa" w:w="6912"/>
            <w:tcMar>
              <w:top w:w="100" w:type="dxa"/>
              <w:start w:w="120" w:type="dxa"/>
              <w:bottom w:w="100" w:type="dxa"/>
              <w:end w:w="120" w:type="dxa"/>
            </w:tcMar>
            <w:vAlign w:val="center"/>
          </w:tcPr>
          <w:p>
            <w:pPr>
              <w:spacing w:after="0"/>
            </w:pPr>
            <w:r>
              <w:t>Requirements have been met at the minimum satisfactory level.</w:t>
            </w:r>
            <w:r>
              <w:rPr>
                <w:rFonts w:ascii="Aptos" w:hAnsi="Aptos" w:eastAsia="Aptos"/>
                <w:sz w:val="18"/>
              </w:rPr>
            </w:r>
          </w:p>
        </w:tc>
      </w:tr>
      <w:tr>
        <w:trPr>
          <w:cantSplit/>
          <w:cantSplit/>
        </w:trPr>
        <w:tc>
          <w:tcPr>
            <w:tcW w:type="dxa" w:w="2448"/>
            <w:tcMar>
              <w:top w:w="100" w:type="dxa"/>
              <w:start w:w="120" w:type="dxa"/>
              <w:bottom w:w="100" w:type="dxa"/>
              <w:end w:w="120" w:type="dxa"/>
            </w:tcMar>
            <w:vAlign w:val="center"/>
          </w:tcPr>
          <w:p>
            <w:pPr>
              <w:spacing w:after="0"/>
            </w:pPr>
            <w:r/>
            <w:r>
              <w:rPr>
                <w:rFonts w:ascii="Aptos" w:hAnsi="Aptos" w:eastAsia="Aptos"/>
                <w:sz w:val="18"/>
              </w:rPr>
              <w:t>Merit</w:t>
            </w:r>
          </w:p>
        </w:tc>
        <w:tc>
          <w:tcPr>
            <w:tcW w:type="dxa" w:w="6912"/>
            <w:tcMar>
              <w:top w:w="100" w:type="dxa"/>
              <w:start w:w="120" w:type="dxa"/>
              <w:bottom w:w="100" w:type="dxa"/>
              <w:end w:w="120" w:type="dxa"/>
            </w:tcMar>
            <w:vAlign w:val="center"/>
          </w:tcPr>
          <w:p>
            <w:pPr>
              <w:spacing w:after="0"/>
            </w:pPr>
            <w:r>
              <w:t>Performance consistently exceeds the minimum standard and demonstrates good command of the material.</w:t>
            </w:r>
            <w:r>
              <w:rPr>
                <w:rFonts w:ascii="Aptos" w:hAnsi="Aptos" w:eastAsia="Aptos"/>
                <w:sz w:val="18"/>
              </w:rPr>
            </w:r>
          </w:p>
        </w:tc>
      </w:tr>
      <w:tr>
        <w:trPr>
          <w:cantSplit/>
          <w:cantSplit/>
        </w:trPr>
        <w:tc>
          <w:tcPr>
            <w:tcW w:type="dxa" w:w="2448"/>
            <w:tcMar>
              <w:top w:w="100" w:type="dxa"/>
              <w:start w:w="120" w:type="dxa"/>
              <w:bottom w:w="100" w:type="dxa"/>
              <w:end w:w="120" w:type="dxa"/>
            </w:tcMar>
            <w:vAlign w:val="center"/>
          </w:tcPr>
          <w:p>
            <w:pPr>
              <w:spacing w:after="0"/>
            </w:pPr>
            <w:r/>
            <w:r>
              <w:rPr>
                <w:rFonts w:ascii="Aptos" w:hAnsi="Aptos" w:eastAsia="Aptos"/>
                <w:sz w:val="18"/>
              </w:rPr>
              <w:t>Distinction</w:t>
            </w:r>
          </w:p>
        </w:tc>
        <w:tc>
          <w:tcPr>
            <w:tcW w:type="dxa" w:w="6912"/>
            <w:tcMar>
              <w:top w:w="100" w:type="dxa"/>
              <w:start w:w="120" w:type="dxa"/>
              <w:bottom w:w="100" w:type="dxa"/>
              <w:end w:w="120" w:type="dxa"/>
            </w:tcMar>
            <w:vAlign w:val="center"/>
          </w:tcPr>
          <w:p>
            <w:pPr>
              <w:spacing w:after="0"/>
            </w:pPr>
            <w:r>
              <w:t>Performance substantially exceeds programme requirements and demonstrates a high degree of independence or quality of practical execution.</w:t>
            </w:r>
            <w:r>
              <w:rPr>
                <w:rFonts w:ascii="Aptos" w:hAnsi="Aptos" w:eastAsia="Aptos"/>
                <w:sz w:val="18"/>
              </w:rPr>
            </w:r>
          </w:p>
        </w:tc>
      </w:tr>
      <w:tr>
        <w:trPr>
          <w:cantSplit/>
          <w:cantSplit/>
        </w:trPr>
        <w:tc>
          <w:tcPr>
            <w:tcW w:type="dxa" w:w="2448"/>
            <w:tcMar>
              <w:top w:w="100" w:type="dxa"/>
              <w:start w:w="120" w:type="dxa"/>
              <w:bottom w:w="100" w:type="dxa"/>
              <w:end w:w="120" w:type="dxa"/>
            </w:tcMar>
            <w:vAlign w:val="center"/>
          </w:tcPr>
          <w:p>
            <w:pPr>
              <w:spacing w:after="0"/>
            </w:pPr>
            <w:r/>
            <w:r>
              <w:rPr>
                <w:rFonts w:ascii="Aptos" w:hAnsi="Aptos" w:eastAsia="Aptos"/>
                <w:sz w:val="18"/>
              </w:rPr>
              <w:t>Not Yet Passed</w:t>
            </w:r>
          </w:p>
        </w:tc>
        <w:tc>
          <w:tcPr>
            <w:tcW w:type="dxa" w:w="6912"/>
            <w:tcMar>
              <w:top w:w="100" w:type="dxa"/>
              <w:start w:w="120" w:type="dxa"/>
              <w:bottom w:w="100" w:type="dxa"/>
              <w:end w:w="120" w:type="dxa"/>
            </w:tcMar>
            <w:vAlign w:val="center"/>
          </w:tcPr>
          <w:p>
            <w:pPr>
              <w:spacing w:after="0"/>
            </w:pPr>
            <w:r>
              <w:t>Requirements have not yet been met; reassessment is permitted in accordance with programme rules.</w:t>
            </w:r>
            <w:r>
              <w:rPr>
                <w:rFonts w:ascii="Aptos" w:hAnsi="Aptos" w:eastAsia="Aptos"/>
                <w:sz w:val="18"/>
              </w:rPr>
            </w:r>
          </w:p>
        </w:tc>
      </w:tr>
    </w:tbl>
    <w:p>
      <w:pPr>
        <w:widowControl/>
        <w:spacing w:after="20"/>
      </w:pPr>
    </w:p>
    <w:p>
      <w:pPr>
        <w:pStyle w:val="Heading1"/>
        <w:widowControl/>
      </w:pPr>
      <w:r>
        <w:t>APPENDIX D. Approval Formula</w:t>
      </w:r>
    </w:p>
    <w:p>
      <w:pPr>
        <w:widowControl/>
      </w:pPr>
      <w:r>
        <w:t>This Standard is approved by _______________________________ and enters into force on __________________. Organisations operating within the church educational system shall bring new programmes into conformity with this Standard from its effective date; programmes already commenced may be completed under the conditions in force at the time of enrolment unless otherwise determined by the competent authority.</w:t>
      </w:r>
    </w:p>
    <w:p>
      <w:pPr>
        <w:widowControl/>
      </w:pPr>
      <w:r>
        <w:t>Chair / Authorised Person: _______________________________</w:t>
      </w:r>
    </w:p>
    <w:p>
      <w:pPr>
        <w:widowControl/>
      </w:pPr>
      <w:r>
        <w:t>Signature: _______________________________     Date: __________________</w:t>
      </w:r>
    </w:p>
    <w:sectPr w:rsidR="00FC693F" w:rsidRPr="0006063C" w:rsidSect="00034616">
      <w:headerReference w:type="default" r:id="rId9"/>
      <w:footerReference w:type="default" r:id="rId10"/>
      <w:pgSz w:w="12240" w:h="15840"/>
      <w:pgMar w:top="1008" w:right="1224" w:bottom="936"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eastAsia="Aptos"/>
        <w:b w:val="0"/>
        <w:color w:val="6E6E6E"/>
        <w:sz w:val="17"/>
      </w:rPr>
      <w:t xml:space="preserve">Page </w:t>
    </w:r>
    <w:r>
      <w:rPr>
        <w:rFonts w:ascii="Aptos" w:hAnsi="Aptos" w:eastAsia="Aptos"/>
        <w:b w:val="0"/>
        <w:color w:val="6E6E6E"/>
        <w:sz w:val="17"/>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Church Education Standard  |  Draft 1.0</w:t>
    </w:r>
    <w:r>
      <w:rPr>
        <w:rFonts w:ascii="Aptos" w:hAnsi="Aptos" w:eastAsia="Aptos"/>
        <w:b w:val="0"/>
        <w:color w:val="6E6E6E"/>
        <w:sz w:val="17"/>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1E2F47"/>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243A5E"/>
      <w:sz w:val="25"/>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Display" w:hAnsi="Aptos Display"/>
      <w:b/>
      <w:bCs/>
      <w:color w:val="46464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1E2F4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